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BC12" w14:textId="7909836E" w:rsidR="005E2C7F" w:rsidRDefault="001228AC" w:rsidP="00CA635B">
      <w:pPr>
        <w:pStyle w:val="Heading1"/>
        <w:tabs>
          <w:tab w:val="center" w:pos="4535"/>
          <w:tab w:val="left" w:pos="8295"/>
        </w:tabs>
      </w:pPr>
      <w:r>
        <w:tab/>
      </w:r>
      <w:bookmarkStart w:id="0" w:name="_Toc381107726"/>
      <w:r w:rsidR="005E2C7F" w:rsidRPr="003A64CA">
        <w:t>Movement to Work (</w:t>
      </w:r>
      <w:proofErr w:type="spellStart"/>
      <w:r w:rsidR="005E2C7F" w:rsidRPr="003A64CA">
        <w:t>MtW</w:t>
      </w:r>
      <w:proofErr w:type="spellEnd"/>
      <w:r w:rsidR="005E2C7F" w:rsidRPr="003A64CA">
        <w:t>)</w:t>
      </w:r>
      <w:bookmarkEnd w:id="0"/>
      <w:r w:rsidR="00EC3F97" w:rsidRPr="00EC3F97">
        <w:t xml:space="preserve"> </w:t>
      </w:r>
      <w:r w:rsidR="001B0376">
        <w:t>Policy Guide</w:t>
      </w:r>
    </w:p>
    <w:p w14:paraId="03FF0134" w14:textId="77777777" w:rsidR="006768C5" w:rsidRDefault="005E2C7F" w:rsidP="00CA635B">
      <w:pPr>
        <w:pStyle w:val="Heading2"/>
      </w:pPr>
      <w:bookmarkStart w:id="1" w:name="_Toc383619335"/>
      <w:bookmarkStart w:id="2" w:name="_Toc524898361"/>
      <w:bookmarkStart w:id="3" w:name="_Toc524898457"/>
      <w:bookmarkStart w:id="4" w:name="_Toc524899403"/>
      <w:bookmarkStart w:id="5" w:name="_Toc527540884"/>
      <w:r>
        <w:t>Contents</w:t>
      </w:r>
      <w:bookmarkEnd w:id="1"/>
      <w:bookmarkEnd w:id="2"/>
      <w:bookmarkEnd w:id="3"/>
      <w:bookmarkEnd w:id="4"/>
      <w:bookmarkEnd w:id="5"/>
    </w:p>
    <w:p w14:paraId="618D1CAE" w14:textId="77777777" w:rsidR="003028B7" w:rsidRDefault="005E2C7F">
      <w:pPr>
        <w:pStyle w:val="TOC2"/>
        <w:rPr>
          <w:rFonts w:asciiTheme="minorHAnsi" w:eastAsiaTheme="minorEastAsia" w:hAnsiTheme="minorHAnsi" w:cstheme="minorBidi"/>
          <w:noProof/>
          <w:sz w:val="22"/>
          <w:szCs w:val="22"/>
        </w:rPr>
      </w:pPr>
      <w:r>
        <w:fldChar w:fldCharType="begin"/>
      </w:r>
      <w:r>
        <w:instrText xml:space="preserve"> TOC \o "2-2" \h \z \u </w:instrText>
      </w:r>
      <w:r>
        <w:fldChar w:fldCharType="separate"/>
      </w:r>
      <w:hyperlink w:anchor="_Toc527540884" w:history="1">
        <w:r w:rsidR="003028B7" w:rsidRPr="00F30188">
          <w:rPr>
            <w:rStyle w:val="Hyperlink"/>
            <w:noProof/>
          </w:rPr>
          <w:t>Contents</w:t>
        </w:r>
        <w:r w:rsidR="003028B7">
          <w:rPr>
            <w:noProof/>
            <w:webHidden/>
          </w:rPr>
          <w:tab/>
        </w:r>
        <w:r w:rsidR="003028B7">
          <w:rPr>
            <w:noProof/>
            <w:webHidden/>
          </w:rPr>
          <w:fldChar w:fldCharType="begin"/>
        </w:r>
        <w:r w:rsidR="003028B7">
          <w:rPr>
            <w:noProof/>
            <w:webHidden/>
          </w:rPr>
          <w:instrText xml:space="preserve"> PAGEREF _Toc527540884 \h </w:instrText>
        </w:r>
        <w:r w:rsidR="003028B7">
          <w:rPr>
            <w:noProof/>
            <w:webHidden/>
          </w:rPr>
        </w:r>
        <w:r w:rsidR="003028B7">
          <w:rPr>
            <w:noProof/>
            <w:webHidden/>
          </w:rPr>
          <w:fldChar w:fldCharType="separate"/>
        </w:r>
        <w:r w:rsidR="003028B7">
          <w:rPr>
            <w:noProof/>
            <w:webHidden/>
          </w:rPr>
          <w:t>1</w:t>
        </w:r>
        <w:r w:rsidR="003028B7">
          <w:rPr>
            <w:noProof/>
            <w:webHidden/>
          </w:rPr>
          <w:fldChar w:fldCharType="end"/>
        </w:r>
      </w:hyperlink>
    </w:p>
    <w:p w14:paraId="7D9226C2" w14:textId="77777777" w:rsidR="003028B7" w:rsidRDefault="00AA7ABF">
      <w:pPr>
        <w:pStyle w:val="TOC2"/>
        <w:rPr>
          <w:rFonts w:asciiTheme="minorHAnsi" w:eastAsiaTheme="minorEastAsia" w:hAnsiTheme="minorHAnsi" w:cstheme="minorBidi"/>
          <w:noProof/>
          <w:sz w:val="22"/>
          <w:szCs w:val="22"/>
        </w:rPr>
      </w:pPr>
      <w:hyperlink w:anchor="_Toc527540885" w:history="1">
        <w:r w:rsidR="003028B7" w:rsidRPr="00F30188">
          <w:rPr>
            <w:rStyle w:val="Hyperlink"/>
            <w:noProof/>
          </w:rPr>
          <w:t>Introduction</w:t>
        </w:r>
        <w:r w:rsidR="003028B7">
          <w:rPr>
            <w:noProof/>
            <w:webHidden/>
          </w:rPr>
          <w:tab/>
        </w:r>
        <w:r w:rsidR="003028B7">
          <w:rPr>
            <w:noProof/>
            <w:webHidden/>
          </w:rPr>
          <w:fldChar w:fldCharType="begin"/>
        </w:r>
        <w:r w:rsidR="003028B7">
          <w:rPr>
            <w:noProof/>
            <w:webHidden/>
          </w:rPr>
          <w:instrText xml:space="preserve"> PAGEREF _Toc527540885 \h </w:instrText>
        </w:r>
        <w:r w:rsidR="003028B7">
          <w:rPr>
            <w:noProof/>
            <w:webHidden/>
          </w:rPr>
        </w:r>
        <w:r w:rsidR="003028B7">
          <w:rPr>
            <w:noProof/>
            <w:webHidden/>
          </w:rPr>
          <w:fldChar w:fldCharType="separate"/>
        </w:r>
        <w:r w:rsidR="003028B7">
          <w:rPr>
            <w:noProof/>
            <w:webHidden/>
          </w:rPr>
          <w:t>2</w:t>
        </w:r>
        <w:r w:rsidR="003028B7">
          <w:rPr>
            <w:noProof/>
            <w:webHidden/>
          </w:rPr>
          <w:fldChar w:fldCharType="end"/>
        </w:r>
      </w:hyperlink>
    </w:p>
    <w:p w14:paraId="6AE5E1BA" w14:textId="77777777" w:rsidR="003028B7" w:rsidRDefault="00AA7ABF">
      <w:pPr>
        <w:pStyle w:val="TOC2"/>
        <w:rPr>
          <w:rFonts w:asciiTheme="minorHAnsi" w:eastAsiaTheme="minorEastAsia" w:hAnsiTheme="minorHAnsi" w:cstheme="minorBidi"/>
          <w:noProof/>
          <w:sz w:val="22"/>
          <w:szCs w:val="22"/>
        </w:rPr>
      </w:pPr>
      <w:hyperlink w:anchor="_Toc527540886" w:history="1">
        <w:r w:rsidR="003028B7" w:rsidRPr="00F30188">
          <w:rPr>
            <w:rStyle w:val="Hyperlink"/>
            <w:noProof/>
          </w:rPr>
          <w:t>Offering a MtW placement</w:t>
        </w:r>
        <w:r w:rsidR="003028B7">
          <w:rPr>
            <w:noProof/>
            <w:webHidden/>
          </w:rPr>
          <w:tab/>
        </w:r>
        <w:r w:rsidR="003028B7">
          <w:rPr>
            <w:noProof/>
            <w:webHidden/>
          </w:rPr>
          <w:fldChar w:fldCharType="begin"/>
        </w:r>
        <w:r w:rsidR="003028B7">
          <w:rPr>
            <w:noProof/>
            <w:webHidden/>
          </w:rPr>
          <w:instrText xml:space="preserve"> PAGEREF _Toc527540886 \h </w:instrText>
        </w:r>
        <w:r w:rsidR="003028B7">
          <w:rPr>
            <w:noProof/>
            <w:webHidden/>
          </w:rPr>
        </w:r>
        <w:r w:rsidR="003028B7">
          <w:rPr>
            <w:noProof/>
            <w:webHidden/>
          </w:rPr>
          <w:fldChar w:fldCharType="separate"/>
        </w:r>
        <w:r w:rsidR="003028B7">
          <w:rPr>
            <w:noProof/>
            <w:webHidden/>
          </w:rPr>
          <w:t>3</w:t>
        </w:r>
        <w:r w:rsidR="003028B7">
          <w:rPr>
            <w:noProof/>
            <w:webHidden/>
          </w:rPr>
          <w:fldChar w:fldCharType="end"/>
        </w:r>
      </w:hyperlink>
    </w:p>
    <w:p w14:paraId="10118327" w14:textId="77777777" w:rsidR="003028B7" w:rsidRDefault="00AA7ABF">
      <w:pPr>
        <w:pStyle w:val="TOC2"/>
        <w:rPr>
          <w:rFonts w:asciiTheme="minorHAnsi" w:eastAsiaTheme="minorEastAsia" w:hAnsiTheme="minorHAnsi" w:cstheme="minorBidi"/>
          <w:noProof/>
          <w:sz w:val="22"/>
          <w:szCs w:val="22"/>
        </w:rPr>
      </w:pPr>
      <w:hyperlink w:anchor="_Toc527540887" w:history="1">
        <w:r w:rsidR="003028B7" w:rsidRPr="00F30188">
          <w:rPr>
            <w:rStyle w:val="Hyperlink"/>
            <w:noProof/>
          </w:rPr>
          <w:t>Preparing for the Work Experience Opportunity</w:t>
        </w:r>
        <w:r w:rsidR="003028B7">
          <w:rPr>
            <w:noProof/>
            <w:webHidden/>
          </w:rPr>
          <w:tab/>
        </w:r>
        <w:r w:rsidR="003028B7">
          <w:rPr>
            <w:noProof/>
            <w:webHidden/>
          </w:rPr>
          <w:fldChar w:fldCharType="begin"/>
        </w:r>
        <w:r w:rsidR="003028B7">
          <w:rPr>
            <w:noProof/>
            <w:webHidden/>
          </w:rPr>
          <w:instrText xml:space="preserve"> PAGEREF _Toc527540887 \h </w:instrText>
        </w:r>
        <w:r w:rsidR="003028B7">
          <w:rPr>
            <w:noProof/>
            <w:webHidden/>
          </w:rPr>
        </w:r>
        <w:r w:rsidR="003028B7">
          <w:rPr>
            <w:noProof/>
            <w:webHidden/>
          </w:rPr>
          <w:fldChar w:fldCharType="separate"/>
        </w:r>
        <w:r w:rsidR="003028B7">
          <w:rPr>
            <w:noProof/>
            <w:webHidden/>
          </w:rPr>
          <w:t>5</w:t>
        </w:r>
        <w:r w:rsidR="003028B7">
          <w:rPr>
            <w:noProof/>
            <w:webHidden/>
          </w:rPr>
          <w:fldChar w:fldCharType="end"/>
        </w:r>
      </w:hyperlink>
    </w:p>
    <w:p w14:paraId="0AE115E9" w14:textId="77777777" w:rsidR="003028B7" w:rsidRDefault="00AA7ABF">
      <w:pPr>
        <w:pStyle w:val="TOC2"/>
        <w:rPr>
          <w:rFonts w:asciiTheme="minorHAnsi" w:eastAsiaTheme="minorEastAsia" w:hAnsiTheme="minorHAnsi" w:cstheme="minorBidi"/>
          <w:noProof/>
          <w:sz w:val="22"/>
          <w:szCs w:val="22"/>
        </w:rPr>
      </w:pPr>
      <w:hyperlink w:anchor="_Toc527540888" w:history="1">
        <w:r w:rsidR="003028B7" w:rsidRPr="00F30188">
          <w:rPr>
            <w:rStyle w:val="Hyperlink"/>
            <w:noProof/>
          </w:rPr>
          <w:t>During the Work Experience Opportunity</w:t>
        </w:r>
        <w:r w:rsidR="003028B7">
          <w:rPr>
            <w:noProof/>
            <w:webHidden/>
          </w:rPr>
          <w:tab/>
        </w:r>
        <w:r w:rsidR="003028B7">
          <w:rPr>
            <w:noProof/>
            <w:webHidden/>
          </w:rPr>
          <w:fldChar w:fldCharType="begin"/>
        </w:r>
        <w:r w:rsidR="003028B7">
          <w:rPr>
            <w:noProof/>
            <w:webHidden/>
          </w:rPr>
          <w:instrText xml:space="preserve"> PAGEREF _Toc527540888 \h </w:instrText>
        </w:r>
        <w:r w:rsidR="003028B7">
          <w:rPr>
            <w:noProof/>
            <w:webHidden/>
          </w:rPr>
        </w:r>
        <w:r w:rsidR="003028B7">
          <w:rPr>
            <w:noProof/>
            <w:webHidden/>
          </w:rPr>
          <w:fldChar w:fldCharType="separate"/>
        </w:r>
        <w:r w:rsidR="003028B7">
          <w:rPr>
            <w:noProof/>
            <w:webHidden/>
          </w:rPr>
          <w:t>7</w:t>
        </w:r>
        <w:r w:rsidR="003028B7">
          <w:rPr>
            <w:noProof/>
            <w:webHidden/>
          </w:rPr>
          <w:fldChar w:fldCharType="end"/>
        </w:r>
      </w:hyperlink>
    </w:p>
    <w:p w14:paraId="78123B98" w14:textId="77777777" w:rsidR="003028B7" w:rsidRDefault="00AA7ABF">
      <w:pPr>
        <w:pStyle w:val="TOC2"/>
        <w:rPr>
          <w:rFonts w:asciiTheme="minorHAnsi" w:eastAsiaTheme="minorEastAsia" w:hAnsiTheme="minorHAnsi" w:cstheme="minorBidi"/>
          <w:noProof/>
          <w:sz w:val="22"/>
          <w:szCs w:val="22"/>
        </w:rPr>
      </w:pPr>
      <w:hyperlink w:anchor="_Toc527540889" w:history="1">
        <w:r w:rsidR="003028B7" w:rsidRPr="00F30188">
          <w:rPr>
            <w:rStyle w:val="Hyperlink"/>
            <w:noProof/>
          </w:rPr>
          <w:t>Ending the Work Experience Opportunity</w:t>
        </w:r>
        <w:r w:rsidR="003028B7">
          <w:rPr>
            <w:noProof/>
            <w:webHidden/>
          </w:rPr>
          <w:tab/>
        </w:r>
        <w:r w:rsidR="003028B7">
          <w:rPr>
            <w:noProof/>
            <w:webHidden/>
          </w:rPr>
          <w:fldChar w:fldCharType="begin"/>
        </w:r>
        <w:r w:rsidR="003028B7">
          <w:rPr>
            <w:noProof/>
            <w:webHidden/>
          </w:rPr>
          <w:instrText xml:space="preserve"> PAGEREF _Toc527540889 \h </w:instrText>
        </w:r>
        <w:r w:rsidR="003028B7">
          <w:rPr>
            <w:noProof/>
            <w:webHidden/>
          </w:rPr>
        </w:r>
        <w:r w:rsidR="003028B7">
          <w:rPr>
            <w:noProof/>
            <w:webHidden/>
          </w:rPr>
          <w:fldChar w:fldCharType="separate"/>
        </w:r>
        <w:r w:rsidR="003028B7">
          <w:rPr>
            <w:noProof/>
            <w:webHidden/>
          </w:rPr>
          <w:t>12</w:t>
        </w:r>
        <w:r w:rsidR="003028B7">
          <w:rPr>
            <w:noProof/>
            <w:webHidden/>
          </w:rPr>
          <w:fldChar w:fldCharType="end"/>
        </w:r>
      </w:hyperlink>
    </w:p>
    <w:p w14:paraId="6BDBA314" w14:textId="77777777" w:rsidR="002D6134" w:rsidRDefault="005E2C7F" w:rsidP="005E2C7F">
      <w:pPr>
        <w:pStyle w:val="Heading2"/>
      </w:pPr>
      <w:r>
        <w:fldChar w:fldCharType="end"/>
      </w:r>
      <w:bookmarkStart w:id="6" w:name="_Toc328679751"/>
      <w:bookmarkStart w:id="7" w:name="_Toc381107728"/>
      <w:bookmarkStart w:id="8" w:name="_Toc381107729"/>
      <w:bookmarkStart w:id="9" w:name="_Toc381617952"/>
      <w:bookmarkStart w:id="10" w:name="_Toc383097660"/>
      <w:bookmarkStart w:id="11" w:name="_Toc383619336"/>
      <w:bookmarkStart w:id="12" w:name="_Toc524898362"/>
      <w:bookmarkStart w:id="13" w:name="_Toc527540885"/>
    </w:p>
    <w:p w14:paraId="43C34911" w14:textId="77777777" w:rsidR="002D6134" w:rsidRDefault="002D6134">
      <w:pPr>
        <w:rPr>
          <w:rFonts w:eastAsia="Calibri"/>
          <w:color w:val="AF292E"/>
          <w:sz w:val="32"/>
          <w:szCs w:val="32"/>
          <w:lang w:eastAsia="en-US"/>
        </w:rPr>
      </w:pPr>
      <w:r>
        <w:br w:type="page"/>
      </w:r>
    </w:p>
    <w:p w14:paraId="1EC1A781" w14:textId="640C37BD" w:rsidR="005E2C7F" w:rsidRDefault="005E2C7F" w:rsidP="005E2C7F">
      <w:pPr>
        <w:pStyle w:val="Heading2"/>
      </w:pPr>
      <w:r>
        <w:lastRenderedPageBreak/>
        <w:t>Introduction</w:t>
      </w:r>
      <w:bookmarkEnd w:id="6"/>
      <w:bookmarkEnd w:id="7"/>
      <w:bookmarkEnd w:id="8"/>
      <w:bookmarkEnd w:id="9"/>
      <w:bookmarkEnd w:id="10"/>
      <w:bookmarkEnd w:id="11"/>
      <w:bookmarkEnd w:id="12"/>
      <w:bookmarkEnd w:id="13"/>
    </w:p>
    <w:p w14:paraId="128E0681" w14:textId="77777777" w:rsidR="00CA17A8" w:rsidRDefault="00CA17A8" w:rsidP="00CA17A8">
      <w:pPr>
        <w:pStyle w:val="Heading3"/>
      </w:pPr>
      <w:bookmarkStart w:id="14" w:name="_Toc381107730"/>
      <w:r>
        <w:t>Purpose</w:t>
      </w:r>
    </w:p>
    <w:p w14:paraId="05E9ABBB" w14:textId="7734AEA4" w:rsidR="00685CAB" w:rsidRDefault="001B0376" w:rsidP="009E7666">
      <w:pPr>
        <w:pStyle w:val="ListNumber"/>
        <w:numPr>
          <w:ilvl w:val="0"/>
          <w:numId w:val="13"/>
        </w:numPr>
        <w:tabs>
          <w:tab w:val="clear" w:pos="720"/>
          <w:tab w:val="left" w:pos="567"/>
        </w:tabs>
        <w:ind w:left="567" w:hanging="567"/>
      </w:pPr>
      <w:r>
        <w:t xml:space="preserve">Participant Managers should use this policy guide to help them with any questions they have about the policy behind Movement to Work. In most cases, the policy will be the same as the host department. </w:t>
      </w:r>
    </w:p>
    <w:p w14:paraId="03CA82C7" w14:textId="68162A0B" w:rsidR="00F7364D" w:rsidRDefault="00E90C4E" w:rsidP="005E2C7F">
      <w:pPr>
        <w:pStyle w:val="Heading3"/>
      </w:pPr>
      <w:r>
        <w:t>The Movement to Work programme</w:t>
      </w:r>
    </w:p>
    <w:p w14:paraId="1C6A693D" w14:textId="171469D1" w:rsidR="00420505" w:rsidRPr="00F45A69" w:rsidRDefault="00F7364D" w:rsidP="00DF60FD">
      <w:pPr>
        <w:pStyle w:val="CSHRBodyText"/>
        <w:numPr>
          <w:ilvl w:val="0"/>
          <w:numId w:val="13"/>
        </w:numPr>
        <w:ind w:left="567" w:hanging="567"/>
      </w:pPr>
      <w:r>
        <w:rPr>
          <w:lang w:eastAsia="en-US"/>
        </w:rPr>
        <w:t xml:space="preserve">The </w:t>
      </w:r>
      <w:proofErr w:type="spellStart"/>
      <w:r>
        <w:rPr>
          <w:lang w:eastAsia="en-US"/>
        </w:rPr>
        <w:t>MtW</w:t>
      </w:r>
      <w:proofErr w:type="spellEnd"/>
      <w:r>
        <w:rPr>
          <w:lang w:eastAsia="en-US"/>
        </w:rPr>
        <w:t xml:space="preserve"> programme</w:t>
      </w:r>
      <w:r w:rsidR="001B0376">
        <w:rPr>
          <w:lang w:eastAsia="en-US"/>
        </w:rPr>
        <w:t xml:space="preserve"> within the Civil Service</w:t>
      </w:r>
      <w:r>
        <w:rPr>
          <w:lang w:eastAsia="en-US"/>
        </w:rPr>
        <w:t xml:space="preserve"> is delivered </w:t>
      </w:r>
      <w:r w:rsidR="00A86AA4">
        <w:rPr>
          <w:lang w:eastAsia="en-US"/>
        </w:rPr>
        <w:t xml:space="preserve">through </w:t>
      </w:r>
      <w:r>
        <w:rPr>
          <w:lang w:eastAsia="en-US"/>
        </w:rPr>
        <w:t xml:space="preserve">Jobcentre Plus and </w:t>
      </w:r>
      <w:r w:rsidR="00991C08">
        <w:t>co</w:t>
      </w:r>
      <w:r w:rsidR="00041E57" w:rsidRPr="005752D4">
        <w:t xml:space="preserve">ordinated by the Department for Work and Pensions (DWP) </w:t>
      </w:r>
      <w:r w:rsidR="000D44E8">
        <w:t>Movement to Work central</w:t>
      </w:r>
      <w:r w:rsidR="00041E57" w:rsidRPr="005752D4">
        <w:t xml:space="preserve"> team</w:t>
      </w:r>
      <w:r w:rsidR="00041E57">
        <w:rPr>
          <w:lang w:eastAsia="en-US"/>
        </w:rPr>
        <w:t xml:space="preserve">. It </w:t>
      </w:r>
      <w:r>
        <w:rPr>
          <w:lang w:eastAsia="en-US"/>
        </w:rPr>
        <w:t xml:space="preserve">offers work experience </w:t>
      </w:r>
      <w:r w:rsidR="00D97B20">
        <w:rPr>
          <w:lang w:eastAsia="en-US"/>
        </w:rPr>
        <w:t>Work Experience Opportunities</w:t>
      </w:r>
      <w:r>
        <w:rPr>
          <w:lang w:eastAsia="en-US"/>
        </w:rPr>
        <w:t xml:space="preserve"> to </w:t>
      </w:r>
      <w:r w:rsidR="006B1A8A">
        <w:rPr>
          <w:lang w:eastAsia="en-US"/>
        </w:rPr>
        <w:t xml:space="preserve">unemployed </w:t>
      </w:r>
      <w:r w:rsidR="00E20407">
        <w:rPr>
          <w:lang w:eastAsia="en-US"/>
        </w:rPr>
        <w:t>benefit claimants who are b</w:t>
      </w:r>
      <w:r w:rsidR="00520478">
        <w:rPr>
          <w:lang w:eastAsia="en-US"/>
        </w:rPr>
        <w:t>etween 18 and 30</w:t>
      </w:r>
      <w:r w:rsidR="00E20407">
        <w:rPr>
          <w:lang w:eastAsia="en-US"/>
        </w:rPr>
        <w:t xml:space="preserve"> years of age who are not in education, employment or training (NEET). </w:t>
      </w:r>
      <w:r w:rsidR="00321BD9">
        <w:rPr>
          <w:lang w:eastAsia="en-US"/>
        </w:rPr>
        <w:t>The Civil Service is</w:t>
      </w:r>
      <w:r w:rsidR="00A86AA4">
        <w:rPr>
          <w:lang w:eastAsia="en-US"/>
        </w:rPr>
        <w:t xml:space="preserve"> </w:t>
      </w:r>
      <w:r w:rsidR="00321BD9">
        <w:rPr>
          <w:lang w:eastAsia="en-US"/>
        </w:rPr>
        <w:t>committed to d</w:t>
      </w:r>
      <w:r w:rsidR="00F45A69">
        <w:rPr>
          <w:lang w:eastAsia="en-US"/>
        </w:rPr>
        <w:t>elivering</w:t>
      </w:r>
      <w:r w:rsidR="001D3AAF">
        <w:rPr>
          <w:lang w:eastAsia="en-US"/>
        </w:rPr>
        <w:t xml:space="preserve"> thousands</w:t>
      </w:r>
      <w:r w:rsidR="00F45A69">
        <w:rPr>
          <w:lang w:eastAsia="en-US"/>
        </w:rPr>
        <w:t xml:space="preserve"> </w:t>
      </w:r>
      <w:r w:rsidR="00864115">
        <w:rPr>
          <w:lang w:eastAsia="en-US"/>
        </w:rPr>
        <w:t xml:space="preserve">of </w:t>
      </w:r>
      <w:proofErr w:type="spellStart"/>
      <w:r w:rsidR="00864115">
        <w:rPr>
          <w:lang w:eastAsia="en-US"/>
        </w:rPr>
        <w:t>MtW</w:t>
      </w:r>
      <w:proofErr w:type="spellEnd"/>
      <w:r w:rsidR="00321BD9">
        <w:rPr>
          <w:lang w:eastAsia="en-US"/>
        </w:rPr>
        <w:t xml:space="preserve"> </w:t>
      </w:r>
      <w:r w:rsidR="00D97B20">
        <w:rPr>
          <w:lang w:eastAsia="en-US"/>
        </w:rPr>
        <w:t>Work Experience Opportunities</w:t>
      </w:r>
      <w:r w:rsidR="00321BD9">
        <w:rPr>
          <w:lang w:eastAsia="en-US"/>
        </w:rPr>
        <w:t xml:space="preserve"> </w:t>
      </w:r>
      <w:r w:rsidR="001D3AAF">
        <w:rPr>
          <w:lang w:eastAsia="en-US"/>
        </w:rPr>
        <w:t xml:space="preserve">each year </w:t>
      </w:r>
      <w:r w:rsidR="00321BD9">
        <w:rPr>
          <w:lang w:eastAsia="en-US"/>
        </w:rPr>
        <w:t>as part of its work experience offer.</w:t>
      </w:r>
    </w:p>
    <w:p w14:paraId="3FDCBC30" w14:textId="77777777" w:rsidR="005E2C7F" w:rsidRPr="005752D4" w:rsidRDefault="005E2C7F" w:rsidP="005E2C7F">
      <w:pPr>
        <w:pStyle w:val="Heading3"/>
      </w:pPr>
      <w:bookmarkStart w:id="15" w:name="_Toc381107732"/>
      <w:bookmarkEnd w:id="14"/>
      <w:r w:rsidRPr="005752D4">
        <w:t>Benefits</w:t>
      </w:r>
      <w:bookmarkEnd w:id="15"/>
      <w:r w:rsidRPr="005752D4">
        <w:t xml:space="preserve"> </w:t>
      </w:r>
    </w:p>
    <w:p w14:paraId="6BE48DD7" w14:textId="22457CB6" w:rsidR="00EA66F4" w:rsidRDefault="005E2C7F" w:rsidP="0053116B">
      <w:pPr>
        <w:pStyle w:val="ListBullet2"/>
      </w:pPr>
      <w:r w:rsidRPr="005752D4">
        <w:t xml:space="preserve">There </w:t>
      </w:r>
      <w:r w:rsidR="00041E57">
        <w:t>is</w:t>
      </w:r>
      <w:r w:rsidRPr="005752D4">
        <w:t xml:space="preserve"> a range of benefits for both the Department and participants. </w:t>
      </w:r>
    </w:p>
    <w:p w14:paraId="3FDCBC32" w14:textId="3A226A6A" w:rsidR="005E2C7F" w:rsidRDefault="005E2C7F" w:rsidP="00B71B51">
      <w:pPr>
        <w:pStyle w:val="ListBullet2"/>
        <w:numPr>
          <w:ilvl w:val="0"/>
          <w:numId w:val="0"/>
        </w:numPr>
        <w:ind w:left="567"/>
      </w:pPr>
      <w:r w:rsidRPr="005752D4">
        <w:t>Benefits to the Department include:</w:t>
      </w:r>
    </w:p>
    <w:p w14:paraId="06E5A3DE" w14:textId="3F37F758" w:rsidR="0007343C" w:rsidRDefault="0007343C" w:rsidP="00D62568">
      <w:pPr>
        <w:pStyle w:val="ListBullet2"/>
        <w:numPr>
          <w:ilvl w:val="0"/>
          <w:numId w:val="41"/>
        </w:numPr>
        <w:ind w:left="1134" w:hanging="283"/>
      </w:pPr>
      <w:r>
        <w:t xml:space="preserve">attracting a broader range of people from diverse backgrounds </w:t>
      </w:r>
    </w:p>
    <w:p w14:paraId="3FDCBC34" w14:textId="3EE7BBC2" w:rsidR="005E2C7F" w:rsidRDefault="005E2C7F" w:rsidP="00D62568">
      <w:pPr>
        <w:pStyle w:val="ListBullet2"/>
        <w:numPr>
          <w:ilvl w:val="0"/>
          <w:numId w:val="41"/>
        </w:numPr>
        <w:ind w:left="1134" w:hanging="283"/>
      </w:pPr>
      <w:r>
        <w:t xml:space="preserve">raising </w:t>
      </w:r>
      <w:r w:rsidR="00FE7EF3">
        <w:t>the Department</w:t>
      </w:r>
      <w:r w:rsidR="00EC3F97">
        <w:t>’</w:t>
      </w:r>
      <w:r w:rsidR="00FE7EF3">
        <w:t>s</w:t>
      </w:r>
      <w:r>
        <w:t xml:space="preserve"> profile as a place of work</w:t>
      </w:r>
    </w:p>
    <w:p w14:paraId="664549DF" w14:textId="316302AC" w:rsidR="00EA66F4" w:rsidRDefault="002D3006" w:rsidP="00D62568">
      <w:pPr>
        <w:pStyle w:val="ListBullet2"/>
        <w:numPr>
          <w:ilvl w:val="0"/>
          <w:numId w:val="41"/>
        </w:numPr>
        <w:ind w:left="1134" w:hanging="283"/>
      </w:pPr>
      <w:r>
        <w:t>identifying potential and enabling individuals to make career plans</w:t>
      </w:r>
    </w:p>
    <w:p w14:paraId="3FDCBC35" w14:textId="7FF107B1" w:rsidR="005E2C7F" w:rsidRDefault="005E2C7F" w:rsidP="00D62568">
      <w:pPr>
        <w:pStyle w:val="ListBullet2"/>
        <w:numPr>
          <w:ilvl w:val="0"/>
          <w:numId w:val="41"/>
        </w:numPr>
        <w:ind w:left="1134" w:hanging="283"/>
      </w:pPr>
      <w:r>
        <w:t>giving people valuable skills and experience that will support their future careers</w:t>
      </w:r>
    </w:p>
    <w:p w14:paraId="3FDCBC36" w14:textId="5F83E749" w:rsidR="005E2C7F" w:rsidRDefault="005E2C7F" w:rsidP="00D62568">
      <w:pPr>
        <w:pStyle w:val="ListBullet2"/>
        <w:numPr>
          <w:ilvl w:val="0"/>
          <w:numId w:val="41"/>
        </w:numPr>
        <w:ind w:left="1134" w:hanging="283"/>
      </w:pPr>
      <w:proofErr w:type="gramStart"/>
      <w:r>
        <w:t>providing</w:t>
      </w:r>
      <w:proofErr w:type="gramEnd"/>
      <w:r>
        <w:t xml:space="preserve"> existing employees with opportunit</w:t>
      </w:r>
      <w:r w:rsidR="00C10D2D">
        <w:t>ies</w:t>
      </w:r>
      <w:r>
        <w:t xml:space="preserve"> to develop their management</w:t>
      </w:r>
      <w:r w:rsidR="00041E57">
        <w:t xml:space="preserve"> and coaching</w:t>
      </w:r>
      <w:r>
        <w:t xml:space="preserve"> skills</w:t>
      </w:r>
      <w:r w:rsidR="004B2EF8">
        <w:t>.</w:t>
      </w:r>
    </w:p>
    <w:p w14:paraId="3FDCBC37" w14:textId="77777777" w:rsidR="005E2C7F" w:rsidRDefault="005E2C7F" w:rsidP="0053116B">
      <w:pPr>
        <w:pStyle w:val="ListBullet2"/>
      </w:pPr>
      <w:r>
        <w:t>Benefits to participants include:</w:t>
      </w:r>
    </w:p>
    <w:p w14:paraId="3FDCBC38" w14:textId="384E689F" w:rsidR="005E2C7F" w:rsidRDefault="005E2C7F" w:rsidP="00D62568">
      <w:pPr>
        <w:pStyle w:val="ListBullet2"/>
        <w:numPr>
          <w:ilvl w:val="0"/>
          <w:numId w:val="19"/>
        </w:numPr>
        <w:ind w:left="1134" w:hanging="283"/>
      </w:pPr>
      <w:r>
        <w:t>providing them with opportuni</w:t>
      </w:r>
      <w:r w:rsidR="00C10D2D">
        <w:t>ties</w:t>
      </w:r>
      <w:r>
        <w:t xml:space="preserve"> to develop their skills and knowledge in a workplace</w:t>
      </w:r>
    </w:p>
    <w:p w14:paraId="3FDCBC39" w14:textId="77777777" w:rsidR="005E2C7F" w:rsidRDefault="005E2C7F" w:rsidP="00D62568">
      <w:pPr>
        <w:pStyle w:val="ListBullet2"/>
        <w:numPr>
          <w:ilvl w:val="0"/>
          <w:numId w:val="19"/>
        </w:numPr>
        <w:ind w:left="1134" w:hanging="283"/>
      </w:pPr>
      <w:r>
        <w:t>enabling them to make more informed career choices</w:t>
      </w:r>
    </w:p>
    <w:p w14:paraId="3FDCBC3A" w14:textId="77777777" w:rsidR="005E2C7F" w:rsidRPr="005752D4" w:rsidRDefault="005E2C7F" w:rsidP="00D62568">
      <w:pPr>
        <w:pStyle w:val="ListBullet2"/>
        <w:numPr>
          <w:ilvl w:val="0"/>
          <w:numId w:val="19"/>
        </w:numPr>
        <w:ind w:left="1134" w:hanging="283"/>
      </w:pPr>
      <w:r w:rsidRPr="005752D4">
        <w:t>developing employability skills</w:t>
      </w:r>
    </w:p>
    <w:p w14:paraId="58CE2B29" w14:textId="7E475BB3" w:rsidR="00C112F8" w:rsidRDefault="005E2C7F" w:rsidP="00D62568">
      <w:pPr>
        <w:pStyle w:val="ListBullet2"/>
        <w:numPr>
          <w:ilvl w:val="0"/>
          <w:numId w:val="19"/>
        </w:numPr>
        <w:ind w:left="1134" w:hanging="283"/>
      </w:pPr>
      <w:proofErr w:type="gramStart"/>
      <w:r w:rsidRPr="005752D4">
        <w:t>increasing</w:t>
      </w:r>
      <w:proofErr w:type="gramEnd"/>
      <w:r w:rsidRPr="005752D4">
        <w:t xml:space="preserve"> their confidence levels.</w:t>
      </w:r>
    </w:p>
    <w:p w14:paraId="44706563" w14:textId="3DA184D0" w:rsidR="007248BC" w:rsidRDefault="007248BC" w:rsidP="007248BC">
      <w:pPr>
        <w:pStyle w:val="Heading3"/>
      </w:pPr>
      <w:r>
        <w:t>Data protection</w:t>
      </w:r>
    </w:p>
    <w:p w14:paraId="7870E265" w14:textId="1352985A" w:rsidR="007248BC" w:rsidRPr="007248BC" w:rsidRDefault="007248BC" w:rsidP="007248BC">
      <w:pPr>
        <w:pStyle w:val="ListBullet2"/>
        <w:rPr>
          <w:lang w:eastAsia="en-US"/>
        </w:rPr>
      </w:pPr>
      <w:r>
        <w:rPr>
          <w:lang w:eastAsia="en-US"/>
        </w:rPr>
        <w:lastRenderedPageBreak/>
        <w:t>Personal data collected as part of this policy will be processed in accordance with the department’s Data Protection Policy and Privacy Notice [DN: dept. to insert links]. The Privacy Notice explains what personal data the Department holds about you, how we collect it, and how we will use and may share information about you. Inappropriate access or disclosure of employee data constitutes a data breach and should be reported in accordance with the department’s data protection policy immediately. It may also constitute a disciplinary offence, which will be dealt with under the Department’s disciplinary procedure. [</w:t>
      </w:r>
      <w:r w:rsidRPr="007248BC">
        <w:rPr>
          <w:b/>
          <w:lang w:eastAsia="en-US"/>
        </w:rPr>
        <w:t>DN: Departments can exercise their discretion to include the data protection statement within supporting policy products where data processing is referenced]</w:t>
      </w:r>
    </w:p>
    <w:p w14:paraId="1295DDF6" w14:textId="46D8E370" w:rsidR="00A807D3" w:rsidRDefault="00A807D3" w:rsidP="00A807D3">
      <w:pPr>
        <w:pStyle w:val="Heading2"/>
      </w:pPr>
      <w:bookmarkStart w:id="16" w:name="_Toc527540886"/>
      <w:r>
        <w:t xml:space="preserve">Offering a </w:t>
      </w:r>
      <w:proofErr w:type="spellStart"/>
      <w:r>
        <w:t>MtW</w:t>
      </w:r>
      <w:proofErr w:type="spellEnd"/>
      <w:r>
        <w:t xml:space="preserve"> placement</w:t>
      </w:r>
      <w:bookmarkEnd w:id="16"/>
    </w:p>
    <w:p w14:paraId="3FDCBC47" w14:textId="5661AC7D" w:rsidR="005E2C7F" w:rsidRDefault="00220A7E" w:rsidP="00A5128D">
      <w:pPr>
        <w:pStyle w:val="ListBullet2"/>
      </w:pPr>
      <w:r>
        <w:t>Participant Managers</w:t>
      </w:r>
      <w:r w:rsidR="001B0376">
        <w:t xml:space="preserve"> should refer to the guidance on how to offer a Work Experience Opportunity which can be found on </w:t>
      </w:r>
      <w:proofErr w:type="spellStart"/>
      <w:r w:rsidR="001B0376">
        <w:t>OneHR</w:t>
      </w:r>
      <w:proofErr w:type="spellEnd"/>
      <w:r w:rsidR="001B0376">
        <w:t xml:space="preserve"> or the DWP </w:t>
      </w:r>
      <w:proofErr w:type="spellStart"/>
      <w:r w:rsidR="001B0376">
        <w:t>MtW</w:t>
      </w:r>
      <w:proofErr w:type="spellEnd"/>
      <w:r w:rsidR="001B0376">
        <w:t xml:space="preserve"> Intranet page.</w:t>
      </w:r>
      <w:r w:rsidR="00A5128D">
        <w:t xml:space="preserve"> This can also be requested by emailing the </w:t>
      </w:r>
      <w:proofErr w:type="spellStart"/>
      <w:r w:rsidR="00A5128D">
        <w:t>MtW</w:t>
      </w:r>
      <w:proofErr w:type="spellEnd"/>
      <w:r w:rsidR="00A5128D">
        <w:t xml:space="preserve"> inbox: </w:t>
      </w:r>
      <w:hyperlink r:id="rId8" w:history="1">
        <w:r w:rsidR="00704849" w:rsidRPr="006D5FC8">
          <w:rPr>
            <w:rStyle w:val="Hyperlink"/>
          </w:rPr>
          <w:t>movementtoworkschemeadmin1@dwp.gsi.gov.uk</w:t>
        </w:r>
      </w:hyperlink>
      <w:r w:rsidR="00A5128D">
        <w:t xml:space="preserve"> </w:t>
      </w:r>
    </w:p>
    <w:p w14:paraId="74941ACF" w14:textId="77777777" w:rsidR="00704849" w:rsidRDefault="00704849" w:rsidP="005734B1">
      <w:pPr>
        <w:pStyle w:val="ListNumber"/>
        <w:numPr>
          <w:ilvl w:val="0"/>
          <w:numId w:val="13"/>
        </w:numPr>
        <w:tabs>
          <w:tab w:val="clear" w:pos="720"/>
          <w:tab w:val="left" w:pos="851"/>
        </w:tabs>
        <w:ind w:left="567" w:hanging="567"/>
      </w:pPr>
      <w:r>
        <w:t xml:space="preserve">To qualify as </w:t>
      </w:r>
      <w:proofErr w:type="gramStart"/>
      <w:r>
        <w:t>a</w:t>
      </w:r>
      <w:proofErr w:type="gramEnd"/>
      <w:r>
        <w:t xml:space="preserve"> </w:t>
      </w:r>
      <w:proofErr w:type="spellStart"/>
      <w:r>
        <w:t>MtW</w:t>
      </w:r>
      <w:proofErr w:type="spellEnd"/>
      <w:r>
        <w:t xml:space="preserve"> Opportunity, the work experience must last at least 10 days, however this can be spread over a number of weeks.</w:t>
      </w:r>
    </w:p>
    <w:p w14:paraId="4C3C637C" w14:textId="70D57CB8" w:rsidR="005734B1" w:rsidRDefault="005734B1" w:rsidP="005734B1">
      <w:pPr>
        <w:pStyle w:val="ListNumber"/>
        <w:numPr>
          <w:ilvl w:val="0"/>
          <w:numId w:val="13"/>
        </w:numPr>
        <w:tabs>
          <w:tab w:val="clear" w:pos="720"/>
          <w:tab w:val="left" w:pos="851"/>
        </w:tabs>
        <w:ind w:left="567" w:hanging="567"/>
      </w:pPr>
      <w:proofErr w:type="spellStart"/>
      <w:r w:rsidRPr="00F45A69">
        <w:t>MtW</w:t>
      </w:r>
      <w:proofErr w:type="spellEnd"/>
      <w:r w:rsidRPr="00F45A69">
        <w:t xml:space="preserve"> </w:t>
      </w:r>
      <w:r w:rsidR="00D97B20">
        <w:t>Work Experience Opportunities</w:t>
      </w:r>
      <w:r>
        <w:t xml:space="preserve"> usually</w:t>
      </w:r>
      <w:r w:rsidRPr="00F45A69">
        <w:t xml:space="preserve"> last between four and six weeks.</w:t>
      </w:r>
      <w:r>
        <w:t xml:space="preserve"> </w:t>
      </w:r>
      <w:r>
        <w:rPr>
          <w:rFonts w:cs="Arial"/>
          <w:color w:val="222222"/>
          <w:shd w:val="clear" w:color="auto" w:fill="FFFFFF"/>
        </w:rPr>
        <w:t xml:space="preserve">However, flexibility can be applied to deliver </w:t>
      </w:r>
      <w:r w:rsidR="00D97B20">
        <w:rPr>
          <w:rFonts w:cs="Arial"/>
          <w:color w:val="222222"/>
          <w:shd w:val="clear" w:color="auto" w:fill="FFFFFF"/>
        </w:rPr>
        <w:t>Work Experience Opportunities</w:t>
      </w:r>
      <w:r>
        <w:rPr>
          <w:rFonts w:cs="Arial"/>
          <w:color w:val="222222"/>
          <w:shd w:val="clear" w:color="auto" w:fill="FFFFFF"/>
        </w:rPr>
        <w:t xml:space="preserve"> over a minimum of two weeks. </w:t>
      </w:r>
      <w:r w:rsidR="00D97B20">
        <w:rPr>
          <w:rFonts w:cs="Arial"/>
          <w:color w:val="222222"/>
          <w:shd w:val="clear" w:color="auto" w:fill="FFFFFF"/>
        </w:rPr>
        <w:t>Work Experience Opportunities</w:t>
      </w:r>
      <w:r>
        <w:rPr>
          <w:rFonts w:cs="Arial"/>
          <w:color w:val="222222"/>
          <w:shd w:val="clear" w:color="auto" w:fill="FFFFFF"/>
        </w:rPr>
        <w:t xml:space="preserve"> delivered over a period of less than four weeks will need to be more focussed and careful planning will be needed to ensure a quality and meaningful experience is provided for the participant so they still have the opportunity to gain valuable experience and learn new skills that will help improve their prospects of finding work.</w:t>
      </w:r>
    </w:p>
    <w:p w14:paraId="2A4A2FFE" w14:textId="3F485FED" w:rsidR="00583746" w:rsidRPr="005752D4" w:rsidRDefault="00583746" w:rsidP="00583746">
      <w:pPr>
        <w:pStyle w:val="ListParagraph"/>
        <w:numPr>
          <w:ilvl w:val="0"/>
          <w:numId w:val="13"/>
        </w:numPr>
        <w:spacing w:line="280" w:lineRule="exact"/>
        <w:ind w:left="567" w:hanging="567"/>
      </w:pPr>
      <w:r w:rsidRPr="005752D4">
        <w:t xml:space="preserve">Every </w:t>
      </w:r>
      <w:r w:rsidR="002C0AD9">
        <w:t xml:space="preserve">Work Experience Opportunity </w:t>
      </w:r>
      <w:r w:rsidRPr="005752D4">
        <w:t>must include:</w:t>
      </w:r>
    </w:p>
    <w:p w14:paraId="7B1FDBB1" w14:textId="77777777" w:rsidR="00583746" w:rsidRDefault="00583746" w:rsidP="00D62568">
      <w:pPr>
        <w:pStyle w:val="ListBullet2"/>
        <w:numPr>
          <w:ilvl w:val="0"/>
          <w:numId w:val="20"/>
        </w:numPr>
        <w:ind w:left="1134" w:hanging="283"/>
      </w:pPr>
      <w:r>
        <w:t>an introduction to the Department</w:t>
      </w:r>
    </w:p>
    <w:p w14:paraId="103C0CE4" w14:textId="77777777" w:rsidR="00583746" w:rsidRPr="005752D4" w:rsidRDefault="00583746" w:rsidP="00D62568">
      <w:pPr>
        <w:pStyle w:val="ListBullet2"/>
        <w:numPr>
          <w:ilvl w:val="0"/>
          <w:numId w:val="20"/>
        </w:numPr>
        <w:ind w:left="1134" w:hanging="283"/>
      </w:pPr>
      <w:r w:rsidRPr="005752D4">
        <w:t>an induction, with information on responsibilities and tasks to help participants get the most out of the placement</w:t>
      </w:r>
    </w:p>
    <w:p w14:paraId="6AC73668" w14:textId="77777777" w:rsidR="00583746" w:rsidRPr="005752D4" w:rsidRDefault="00583746" w:rsidP="00D62568">
      <w:pPr>
        <w:pStyle w:val="ListBullet2"/>
        <w:numPr>
          <w:ilvl w:val="0"/>
          <w:numId w:val="20"/>
        </w:numPr>
        <w:ind w:left="1134" w:hanging="283"/>
      </w:pPr>
      <w:r w:rsidRPr="005752D4">
        <w:t xml:space="preserve">a clear framework for supervision and monitoring of the participant </w:t>
      </w:r>
    </w:p>
    <w:p w14:paraId="777F1ABB" w14:textId="77777777" w:rsidR="00583746" w:rsidRPr="005752D4" w:rsidRDefault="00583746" w:rsidP="00D62568">
      <w:pPr>
        <w:pStyle w:val="ListBullet2"/>
        <w:numPr>
          <w:ilvl w:val="0"/>
          <w:numId w:val="20"/>
        </w:numPr>
        <w:ind w:left="1134" w:hanging="283"/>
      </w:pPr>
      <w:r w:rsidRPr="005752D4">
        <w:t xml:space="preserve">regular contact between the participant and their manager to discuss progress and any areas of concern </w:t>
      </w:r>
    </w:p>
    <w:p w14:paraId="623167F3" w14:textId="77777777" w:rsidR="00583746" w:rsidRPr="005752D4" w:rsidRDefault="00583746" w:rsidP="00D62568">
      <w:pPr>
        <w:pStyle w:val="ListBullet2"/>
        <w:numPr>
          <w:ilvl w:val="0"/>
          <w:numId w:val="20"/>
        </w:numPr>
        <w:ind w:left="1134" w:hanging="283"/>
      </w:pPr>
      <w:proofErr w:type="gramStart"/>
      <w:r w:rsidRPr="005752D4">
        <w:t>opportunities</w:t>
      </w:r>
      <w:proofErr w:type="gramEnd"/>
      <w:r w:rsidRPr="005752D4">
        <w:t xml:space="preserve"> to engage with other participants, if applicable, to support each other and share experiences during the placement.</w:t>
      </w:r>
    </w:p>
    <w:p w14:paraId="1C6DC466" w14:textId="1A2DC2CE" w:rsidR="00583746" w:rsidRPr="005752D4" w:rsidRDefault="00583746" w:rsidP="00583746">
      <w:pPr>
        <w:pStyle w:val="ListNumber"/>
        <w:numPr>
          <w:ilvl w:val="0"/>
          <w:numId w:val="13"/>
        </w:numPr>
        <w:tabs>
          <w:tab w:val="clear" w:pos="720"/>
          <w:tab w:val="left" w:pos="851"/>
        </w:tabs>
        <w:ind w:left="567" w:hanging="567"/>
      </w:pPr>
      <w:r w:rsidRPr="005752D4">
        <w:t xml:space="preserve">It is important to carefully consider the types of activities participants will undertake during </w:t>
      </w:r>
      <w:r w:rsidR="00D97B20">
        <w:t>Work Experience Opportunities</w:t>
      </w:r>
      <w:r w:rsidRPr="005752D4">
        <w:t xml:space="preserve">. </w:t>
      </w:r>
      <w:r w:rsidRPr="00A55B9A">
        <w:rPr>
          <w:rFonts w:cs="Arial"/>
          <w:iCs/>
        </w:rPr>
        <w:t>They are not expected to contribute to the business to the same level as a paid employee, but are in the workplace to learn.</w:t>
      </w:r>
      <w:r>
        <w:rPr>
          <w:rFonts w:ascii="Trebuchet MS" w:hAnsi="Trebuchet MS"/>
          <w:i/>
          <w:iCs/>
          <w:color w:val="0033CC"/>
        </w:rPr>
        <w:t xml:space="preserve"> </w:t>
      </w:r>
      <w:r w:rsidRPr="005752D4">
        <w:t xml:space="preserve">Making the activities as meaningful as possible </w:t>
      </w:r>
      <w:r>
        <w:t>will benefit participants and the D</w:t>
      </w:r>
      <w:r w:rsidRPr="005752D4">
        <w:t xml:space="preserve">epartment. Depending on the </w:t>
      </w:r>
      <w:r w:rsidRPr="005752D4">
        <w:lastRenderedPageBreak/>
        <w:t xml:space="preserve">knowledge and skills of participants, activities </w:t>
      </w:r>
      <w:r>
        <w:t xml:space="preserve">should be supported by any relevant training and </w:t>
      </w:r>
      <w:r w:rsidRPr="005752D4">
        <w:t>could include:</w:t>
      </w:r>
    </w:p>
    <w:p w14:paraId="3A143ED8" w14:textId="77777777" w:rsidR="00583746" w:rsidRPr="005752D4" w:rsidRDefault="00583746" w:rsidP="00583746">
      <w:pPr>
        <w:pStyle w:val="ListNumber"/>
        <w:numPr>
          <w:ilvl w:val="0"/>
          <w:numId w:val="7"/>
        </w:numPr>
        <w:tabs>
          <w:tab w:val="clear" w:pos="360"/>
          <w:tab w:val="num" w:pos="420"/>
        </w:tabs>
        <w:ind w:left="1134" w:hanging="283"/>
      </w:pPr>
      <w:r w:rsidRPr="005752D4">
        <w:t>using office equipment such as photocopier</w:t>
      </w:r>
      <w:r>
        <w:t>s</w:t>
      </w:r>
      <w:r w:rsidRPr="005752D4">
        <w:t>/printer</w:t>
      </w:r>
      <w:r>
        <w:t>s</w:t>
      </w:r>
      <w:r w:rsidRPr="005752D4">
        <w:t xml:space="preserve">, IT and telephony, subject to appropriate training </w:t>
      </w:r>
    </w:p>
    <w:p w14:paraId="35BBAA61" w14:textId="77777777" w:rsidR="00583746" w:rsidRPr="005752D4" w:rsidRDefault="00583746" w:rsidP="00583746">
      <w:pPr>
        <w:pStyle w:val="ListNumber"/>
        <w:numPr>
          <w:ilvl w:val="0"/>
          <w:numId w:val="7"/>
        </w:numPr>
        <w:tabs>
          <w:tab w:val="clear" w:pos="360"/>
          <w:tab w:val="num" w:pos="420"/>
        </w:tabs>
        <w:ind w:left="1134" w:hanging="283"/>
      </w:pPr>
      <w:r w:rsidRPr="005752D4">
        <w:t xml:space="preserve">answering the telephone and taking messages </w:t>
      </w:r>
    </w:p>
    <w:p w14:paraId="7B8410C5" w14:textId="77777777" w:rsidR="00583746" w:rsidRPr="005752D4" w:rsidRDefault="00583746" w:rsidP="00583746">
      <w:pPr>
        <w:pStyle w:val="ListNumber"/>
        <w:numPr>
          <w:ilvl w:val="0"/>
          <w:numId w:val="7"/>
        </w:numPr>
        <w:tabs>
          <w:tab w:val="clear" w:pos="360"/>
          <w:tab w:val="num" w:pos="420"/>
        </w:tabs>
        <w:ind w:left="1134" w:hanging="283"/>
      </w:pPr>
      <w:r w:rsidRPr="005752D4">
        <w:t>shadowing other team members</w:t>
      </w:r>
    </w:p>
    <w:p w14:paraId="148444FD" w14:textId="77777777" w:rsidR="00583746" w:rsidRPr="005752D4" w:rsidRDefault="00583746" w:rsidP="00583746">
      <w:pPr>
        <w:pStyle w:val="ListNumber"/>
        <w:numPr>
          <w:ilvl w:val="0"/>
          <w:numId w:val="7"/>
        </w:numPr>
        <w:tabs>
          <w:tab w:val="clear" w:pos="360"/>
          <w:tab w:val="num" w:pos="420"/>
        </w:tabs>
        <w:ind w:left="1134" w:hanging="283"/>
      </w:pPr>
      <w:r w:rsidRPr="005752D4">
        <w:t>organising, attending or taking notes at meetings</w:t>
      </w:r>
    </w:p>
    <w:p w14:paraId="31575549" w14:textId="77777777" w:rsidR="00583746" w:rsidRDefault="00583746" w:rsidP="00583746">
      <w:pPr>
        <w:pStyle w:val="ListNumber"/>
        <w:numPr>
          <w:ilvl w:val="0"/>
          <w:numId w:val="7"/>
        </w:numPr>
        <w:tabs>
          <w:tab w:val="clear" w:pos="360"/>
          <w:tab w:val="num" w:pos="420"/>
        </w:tabs>
        <w:ind w:left="1134" w:hanging="283"/>
      </w:pPr>
      <w:proofErr w:type="gramStart"/>
      <w:r w:rsidRPr="005752D4">
        <w:t>observing</w:t>
      </w:r>
      <w:proofErr w:type="gramEnd"/>
      <w:r w:rsidRPr="005752D4">
        <w:t xml:space="preserve"> interactions with customers, subject to the customer’s consent.</w:t>
      </w:r>
    </w:p>
    <w:p w14:paraId="7E6F8DE9" w14:textId="27C59187" w:rsidR="00583746" w:rsidRPr="004D25E7" w:rsidRDefault="00583746" w:rsidP="00583746">
      <w:pPr>
        <w:pStyle w:val="ListParagraph"/>
        <w:numPr>
          <w:ilvl w:val="0"/>
          <w:numId w:val="13"/>
        </w:numPr>
        <w:ind w:left="567" w:hanging="567"/>
      </w:pPr>
      <w:r>
        <w:t>If you cannot provide enough meaningful work on your own team i</w:t>
      </w:r>
      <w:r w:rsidRPr="004D25E7">
        <w:t xml:space="preserve">t is possible to split the </w:t>
      </w:r>
      <w:r w:rsidR="002C0AD9">
        <w:t>Work Experience Opportunity</w:t>
      </w:r>
      <w:r w:rsidRPr="004D25E7">
        <w:t xml:space="preserve"> with another team providing that</w:t>
      </w:r>
      <w:r>
        <w:t xml:space="preserve"> the participant</w:t>
      </w:r>
      <w:r w:rsidRPr="004D25E7">
        <w:t>:</w:t>
      </w:r>
    </w:p>
    <w:p w14:paraId="18A40CEC" w14:textId="77777777" w:rsidR="00583746" w:rsidRPr="004D25E7" w:rsidRDefault="00583746" w:rsidP="00583746">
      <w:pPr>
        <w:numPr>
          <w:ilvl w:val="0"/>
          <w:numId w:val="12"/>
        </w:numPr>
        <w:spacing w:after="240" w:line="280" w:lineRule="exact"/>
        <w:ind w:left="1134" w:hanging="283"/>
      </w:pPr>
      <w:r>
        <w:t>has a</w:t>
      </w:r>
      <w:r w:rsidRPr="004D25E7">
        <w:t xml:space="preserve"> clear role description </w:t>
      </w:r>
    </w:p>
    <w:p w14:paraId="68907526" w14:textId="77777777" w:rsidR="00583746" w:rsidRPr="004D25E7" w:rsidRDefault="00583746" w:rsidP="00583746">
      <w:pPr>
        <w:numPr>
          <w:ilvl w:val="0"/>
          <w:numId w:val="12"/>
        </w:numPr>
        <w:spacing w:after="240" w:line="280" w:lineRule="exact"/>
        <w:ind w:left="1134" w:hanging="283"/>
      </w:pPr>
      <w:r>
        <w:t xml:space="preserve">is </w:t>
      </w:r>
      <w:r w:rsidRPr="004D25E7">
        <w:t>not overstretch</w:t>
      </w:r>
      <w:r>
        <w:t>ed</w:t>
      </w:r>
    </w:p>
    <w:p w14:paraId="08EB3496" w14:textId="1FA822B4" w:rsidR="00583746" w:rsidRDefault="00583746" w:rsidP="00583746">
      <w:pPr>
        <w:numPr>
          <w:ilvl w:val="0"/>
          <w:numId w:val="12"/>
        </w:numPr>
        <w:spacing w:after="240" w:line="280" w:lineRule="exact"/>
        <w:ind w:left="1134" w:hanging="283"/>
      </w:pPr>
      <w:proofErr w:type="gramStart"/>
      <w:r>
        <w:t>has</w:t>
      </w:r>
      <w:proofErr w:type="gramEnd"/>
      <w:r w:rsidRPr="004D25E7">
        <w:t xml:space="preserve"> a single manager throughout the </w:t>
      </w:r>
      <w:r w:rsidR="002C0AD9">
        <w:t>Work Experience Opportunity</w:t>
      </w:r>
      <w:r w:rsidRPr="004D25E7">
        <w:t xml:space="preserve"> to provide</w:t>
      </w:r>
      <w:r>
        <w:t xml:space="preserve"> them with</w:t>
      </w:r>
      <w:r w:rsidRPr="004D25E7">
        <w:t xml:space="preserve"> continuity and support.</w:t>
      </w:r>
    </w:p>
    <w:p w14:paraId="1F67AA59" w14:textId="62E934A6" w:rsidR="00583746" w:rsidRPr="005752D4" w:rsidRDefault="00220A7E" w:rsidP="00583746">
      <w:pPr>
        <w:pStyle w:val="ListNumber"/>
        <w:numPr>
          <w:ilvl w:val="0"/>
          <w:numId w:val="13"/>
        </w:numPr>
        <w:tabs>
          <w:tab w:val="clear" w:pos="720"/>
          <w:tab w:val="left" w:pos="851"/>
        </w:tabs>
        <w:ind w:left="567" w:hanging="567"/>
      </w:pPr>
      <w:r>
        <w:t>Participant Managers</w:t>
      </w:r>
      <w:r w:rsidR="00583746" w:rsidRPr="005752D4">
        <w:t xml:space="preserve"> should consider responsibilities before </w:t>
      </w:r>
      <w:r w:rsidR="00D97B20">
        <w:t>Work Experience Opportunities</w:t>
      </w:r>
      <w:r w:rsidR="00583746" w:rsidRPr="005752D4">
        <w:t xml:space="preserve"> are advertised. These responsibilities include establishing:</w:t>
      </w:r>
    </w:p>
    <w:p w14:paraId="66FEED13" w14:textId="3ABCF076" w:rsidR="00583746" w:rsidRPr="005752D4" w:rsidRDefault="00583746" w:rsidP="00201BE9">
      <w:pPr>
        <w:pStyle w:val="ListBullet2"/>
        <w:numPr>
          <w:ilvl w:val="0"/>
          <w:numId w:val="23"/>
        </w:numPr>
        <w:ind w:left="1134" w:hanging="283"/>
      </w:pPr>
      <w:proofErr w:type="gramStart"/>
      <w:r>
        <w:t>who</w:t>
      </w:r>
      <w:proofErr w:type="gramEnd"/>
      <w:r>
        <w:t xml:space="preserve"> will manage the </w:t>
      </w:r>
      <w:r w:rsidR="002C0AD9">
        <w:t>Work Experience Opportunity</w:t>
      </w:r>
      <w:r>
        <w:t>. T</w:t>
      </w:r>
      <w:r w:rsidRPr="005752D4">
        <w:t>his does not need to be someone of management grade</w:t>
      </w:r>
    </w:p>
    <w:p w14:paraId="5CD9DC73" w14:textId="28766F3F" w:rsidR="00583746" w:rsidRPr="005752D4" w:rsidRDefault="00583746" w:rsidP="00201BE9">
      <w:pPr>
        <w:pStyle w:val="ListBullet2"/>
        <w:numPr>
          <w:ilvl w:val="0"/>
          <w:numId w:val="23"/>
        </w:numPr>
        <w:ind w:left="1134" w:hanging="283"/>
      </w:pPr>
      <w:r w:rsidRPr="005752D4">
        <w:t xml:space="preserve">the nature of the </w:t>
      </w:r>
      <w:r w:rsidR="002C0AD9">
        <w:t>Work Experience Opportunity</w:t>
      </w:r>
      <w:r w:rsidRPr="005752D4">
        <w:t xml:space="preserve"> and the work that will be undertaken</w:t>
      </w:r>
    </w:p>
    <w:p w14:paraId="2CEB0CDB" w14:textId="77777777" w:rsidR="00583746" w:rsidRPr="005752D4" w:rsidRDefault="00583746" w:rsidP="00201BE9">
      <w:pPr>
        <w:pStyle w:val="ListBullet2"/>
        <w:numPr>
          <w:ilvl w:val="0"/>
          <w:numId w:val="23"/>
        </w:numPr>
        <w:ind w:left="1134" w:hanging="283"/>
      </w:pPr>
      <w:r w:rsidRPr="005752D4">
        <w:t>the hours of work and working patterns</w:t>
      </w:r>
    </w:p>
    <w:p w14:paraId="505908AC" w14:textId="77777777" w:rsidR="00583746" w:rsidRDefault="00583746" w:rsidP="00583746">
      <w:pPr>
        <w:pStyle w:val="ListNumber"/>
        <w:numPr>
          <w:ilvl w:val="0"/>
          <w:numId w:val="13"/>
        </w:numPr>
        <w:tabs>
          <w:tab w:val="clear" w:pos="720"/>
          <w:tab w:val="left" w:pos="567"/>
        </w:tabs>
        <w:ind w:left="567" w:hanging="567"/>
      </w:pPr>
      <w:r w:rsidRPr="005752D4">
        <w:t xml:space="preserve">Additional insurance arrangements </w:t>
      </w:r>
      <w:r>
        <w:t>are not</w:t>
      </w:r>
      <w:r w:rsidRPr="005752D4">
        <w:t xml:space="preserve"> </w:t>
      </w:r>
      <w:r>
        <w:t>needed</w:t>
      </w:r>
      <w:r w:rsidRPr="005752D4">
        <w:t xml:space="preserve"> for </w:t>
      </w:r>
      <w:proofErr w:type="spellStart"/>
      <w:r>
        <w:t>MtW</w:t>
      </w:r>
      <w:proofErr w:type="spellEnd"/>
      <w:r w:rsidRPr="005752D4">
        <w:t xml:space="preserve"> participants. </w:t>
      </w:r>
      <w:r>
        <w:t>Crown Indemnity covers g</w:t>
      </w:r>
      <w:r w:rsidRPr="005752D4">
        <w:t>overnment departments and agencies</w:t>
      </w:r>
      <w:r>
        <w:t>.</w:t>
      </w:r>
      <w:r w:rsidRPr="005752D4">
        <w:t xml:space="preserve"> </w:t>
      </w:r>
      <w:r>
        <w:t>This</w:t>
      </w:r>
      <w:r w:rsidRPr="005752D4">
        <w:t xml:space="preserve"> means they do not need to take out insurance in respect of claims that may be made against them. None of the statutory provisions requiring other people to be insured in certain circumstances apply to the Crown.</w:t>
      </w:r>
    </w:p>
    <w:p w14:paraId="491E9E72" w14:textId="7832574D" w:rsidR="00704849" w:rsidRPr="005752D4" w:rsidRDefault="00704849" w:rsidP="00583746">
      <w:pPr>
        <w:pStyle w:val="ListNumber"/>
        <w:numPr>
          <w:ilvl w:val="0"/>
          <w:numId w:val="13"/>
        </w:numPr>
        <w:tabs>
          <w:tab w:val="clear" w:pos="720"/>
          <w:tab w:val="left" w:pos="567"/>
        </w:tabs>
        <w:ind w:left="567" w:hanging="567"/>
      </w:pPr>
      <w:r>
        <w:t xml:space="preserve">If </w:t>
      </w:r>
      <w:r w:rsidR="003E5F2E">
        <w:t>a Participant would like to do work experience within a Job Centre Plus, the Participant should not be placed in the Job Centre Plus where their Work Coach is based.</w:t>
      </w:r>
    </w:p>
    <w:p w14:paraId="0460FAD3" w14:textId="35C17414" w:rsidR="008C542F" w:rsidRDefault="008C542F" w:rsidP="008C542F">
      <w:pPr>
        <w:pStyle w:val="Heading3"/>
      </w:pPr>
      <w:r>
        <w:t>Sourcing participants</w:t>
      </w:r>
    </w:p>
    <w:p w14:paraId="406EE928" w14:textId="53E44064" w:rsidR="00702BE1" w:rsidRDefault="00702BE1" w:rsidP="00702BE1">
      <w:pPr>
        <w:pStyle w:val="ListNumber"/>
        <w:numPr>
          <w:ilvl w:val="0"/>
          <w:numId w:val="13"/>
        </w:numPr>
        <w:tabs>
          <w:tab w:val="clear" w:pos="720"/>
          <w:tab w:val="left" w:pos="851"/>
        </w:tabs>
        <w:ind w:left="567" w:hanging="567"/>
      </w:pPr>
      <w:r>
        <w:t>T</w:t>
      </w:r>
      <w:r w:rsidR="00AE5263" w:rsidRPr="005752D4">
        <w:t xml:space="preserve">he local Jobcentre </w:t>
      </w:r>
      <w:proofErr w:type="gramStart"/>
      <w:r w:rsidR="00AE5263" w:rsidRPr="005752D4">
        <w:t>Plus</w:t>
      </w:r>
      <w:proofErr w:type="gramEnd"/>
      <w:r w:rsidR="00AE5263" w:rsidRPr="005752D4">
        <w:t xml:space="preserve"> Work Coach </w:t>
      </w:r>
      <w:r>
        <w:t xml:space="preserve">will have a conversation about work experience with eligible claimants. If agreed that the claimant would benefit from a Work Experience Opportunity, the Work Coach </w:t>
      </w:r>
      <w:proofErr w:type="gramStart"/>
      <w:r>
        <w:t>will</w:t>
      </w:r>
      <w:proofErr w:type="gramEnd"/>
      <w:r>
        <w:t xml:space="preserve"> signpost them towards the Talent Platform so that they can </w:t>
      </w:r>
      <w:r>
        <w:lastRenderedPageBreak/>
        <w:t xml:space="preserve">apply. If the participant will benefit from a Work Experience Opportunity within a Jobcentre Plus, the Work Coach will complete a paper form and send this to the </w:t>
      </w:r>
      <w:proofErr w:type="spellStart"/>
      <w:r>
        <w:t>MtW</w:t>
      </w:r>
      <w:proofErr w:type="spellEnd"/>
      <w:r>
        <w:t xml:space="preserve"> Central team.</w:t>
      </w:r>
    </w:p>
    <w:p w14:paraId="3E4C2FD1" w14:textId="6F97975F" w:rsidR="003E5F2E" w:rsidRPr="005752D4" w:rsidRDefault="003E5F2E" w:rsidP="00702BE1">
      <w:pPr>
        <w:pStyle w:val="ListNumber"/>
        <w:numPr>
          <w:ilvl w:val="0"/>
          <w:numId w:val="13"/>
        </w:numPr>
        <w:tabs>
          <w:tab w:val="clear" w:pos="720"/>
          <w:tab w:val="left" w:pos="851"/>
        </w:tabs>
        <w:ind w:left="567" w:hanging="567"/>
      </w:pPr>
      <w:r>
        <w:t xml:space="preserve">The local Job Centre </w:t>
      </w:r>
      <w:proofErr w:type="gramStart"/>
      <w:r>
        <w:t>Plus</w:t>
      </w:r>
      <w:proofErr w:type="gramEnd"/>
      <w:r>
        <w:t xml:space="preserve"> Work Coach should not place a Participant within the same Job Centre Plus as themselves.</w:t>
      </w:r>
    </w:p>
    <w:p w14:paraId="3FDCBC49" w14:textId="73ED0230" w:rsidR="005E2C7F" w:rsidRPr="005752D4" w:rsidRDefault="005E2C7F" w:rsidP="009E7666">
      <w:pPr>
        <w:pStyle w:val="ListNumber"/>
        <w:numPr>
          <w:ilvl w:val="0"/>
          <w:numId w:val="13"/>
        </w:numPr>
        <w:tabs>
          <w:tab w:val="clear" w:pos="720"/>
          <w:tab w:val="left" w:pos="851"/>
        </w:tabs>
        <w:ind w:left="567" w:hanging="567"/>
      </w:pPr>
      <w:r w:rsidRPr="005752D4">
        <w:t xml:space="preserve">The DWP </w:t>
      </w:r>
      <w:proofErr w:type="spellStart"/>
      <w:r w:rsidR="000D44E8">
        <w:t>MtW</w:t>
      </w:r>
      <w:proofErr w:type="spellEnd"/>
      <w:r w:rsidR="000D44E8">
        <w:t xml:space="preserve"> central</w:t>
      </w:r>
      <w:r w:rsidRPr="005752D4">
        <w:t xml:space="preserve"> team will register details of the </w:t>
      </w:r>
      <w:r w:rsidR="002C0AD9">
        <w:t>Work Experience Opportunity</w:t>
      </w:r>
      <w:r w:rsidRPr="005752D4">
        <w:t xml:space="preserve"> on a central database and send the participant’s details to the departmental </w:t>
      </w:r>
      <w:proofErr w:type="spellStart"/>
      <w:r w:rsidRPr="005752D4">
        <w:t>MtW</w:t>
      </w:r>
      <w:proofErr w:type="spellEnd"/>
      <w:r w:rsidRPr="005752D4">
        <w:t xml:space="preserve"> </w:t>
      </w:r>
      <w:proofErr w:type="spellStart"/>
      <w:r w:rsidRPr="005752D4">
        <w:t>SPoC</w:t>
      </w:r>
      <w:proofErr w:type="spellEnd"/>
      <w:r w:rsidRPr="005752D4">
        <w:t xml:space="preserve"> and </w:t>
      </w:r>
      <w:r w:rsidR="002C0AD9">
        <w:t>Participant</w:t>
      </w:r>
      <w:r w:rsidRPr="005752D4">
        <w:t xml:space="preserve"> manager.</w:t>
      </w:r>
    </w:p>
    <w:p w14:paraId="3FDCBC4A" w14:textId="627CDC41" w:rsidR="005E2C7F" w:rsidRDefault="005E2C7F" w:rsidP="009E7666">
      <w:pPr>
        <w:pStyle w:val="ListNumber"/>
        <w:numPr>
          <w:ilvl w:val="0"/>
          <w:numId w:val="13"/>
        </w:numPr>
        <w:tabs>
          <w:tab w:val="clear" w:pos="720"/>
          <w:tab w:val="left" w:pos="851"/>
        </w:tabs>
        <w:ind w:left="567" w:hanging="567"/>
      </w:pPr>
      <w:r w:rsidRPr="005752D4">
        <w:t xml:space="preserve">On receipt of the participant’s details, </w:t>
      </w:r>
      <w:r w:rsidR="00220A7E">
        <w:t>Participant Managers</w:t>
      </w:r>
      <w:r w:rsidRPr="005752D4">
        <w:t xml:space="preserve"> should contact the participant to provide details of who and where to report to on their first day.</w:t>
      </w:r>
      <w:r w:rsidR="002C0AD9">
        <w:t xml:space="preserve"> There is guidance in the Participant Manager’s Toolkit, which can be found on the DWP Intranet, </w:t>
      </w:r>
      <w:proofErr w:type="spellStart"/>
      <w:r w:rsidR="002C0AD9">
        <w:t>OneHR</w:t>
      </w:r>
      <w:proofErr w:type="spellEnd"/>
      <w:r w:rsidR="002C0AD9">
        <w:t xml:space="preserve"> webpage or provided if you contact the </w:t>
      </w:r>
      <w:proofErr w:type="spellStart"/>
      <w:r w:rsidR="002C0AD9">
        <w:t>MtW</w:t>
      </w:r>
      <w:proofErr w:type="spellEnd"/>
      <w:r w:rsidR="002C0AD9">
        <w:t xml:space="preserve"> central inbox.</w:t>
      </w:r>
    </w:p>
    <w:p w14:paraId="0DD3F967" w14:textId="5DBDCA26" w:rsidR="001647C7" w:rsidRPr="0092239D" w:rsidRDefault="001647C7" w:rsidP="001647C7">
      <w:pPr>
        <w:pStyle w:val="ListBullet2"/>
      </w:pPr>
      <w:r w:rsidRPr="00DB0FD2">
        <w:t xml:space="preserve">Participation is entirely voluntary. </w:t>
      </w:r>
      <w:r w:rsidR="00863983">
        <w:t xml:space="preserve">Participants will apply for their chosen role via the Talent Platform according to their own aspirations. </w:t>
      </w:r>
      <w:r>
        <w:t xml:space="preserve">If </w:t>
      </w:r>
      <w:r w:rsidRPr="000360F9">
        <w:rPr>
          <w:rFonts w:cs="Arial"/>
        </w:rPr>
        <w:t>there is a specific business reason why</w:t>
      </w:r>
      <w:r w:rsidR="00220A7E">
        <w:rPr>
          <w:rFonts w:cs="Arial"/>
        </w:rPr>
        <w:t xml:space="preserve"> </w:t>
      </w:r>
      <w:r w:rsidRPr="000360F9">
        <w:rPr>
          <w:rFonts w:cs="Arial"/>
        </w:rPr>
        <w:t xml:space="preserve">a particular individual should not work within </w:t>
      </w:r>
      <w:r w:rsidR="00220A7E">
        <w:rPr>
          <w:rFonts w:cs="Arial"/>
        </w:rPr>
        <w:t>a specific</w:t>
      </w:r>
      <w:r w:rsidRPr="000360F9">
        <w:rPr>
          <w:rFonts w:cs="Arial"/>
        </w:rPr>
        <w:t xml:space="preserve"> department</w:t>
      </w:r>
      <w:r w:rsidR="00220A7E">
        <w:rPr>
          <w:rFonts w:cs="Arial"/>
        </w:rPr>
        <w:t xml:space="preserve">, Participant Managers or </w:t>
      </w:r>
      <w:proofErr w:type="spellStart"/>
      <w:r w:rsidR="00220A7E">
        <w:rPr>
          <w:rFonts w:cs="Arial"/>
        </w:rPr>
        <w:t>SPoCs</w:t>
      </w:r>
      <w:proofErr w:type="spellEnd"/>
      <w:r>
        <w:rPr>
          <w:rFonts w:cs="Arial"/>
        </w:rPr>
        <w:t xml:space="preserve"> </w:t>
      </w:r>
      <w:r w:rsidRPr="000360F9">
        <w:rPr>
          <w:rFonts w:cs="Arial"/>
        </w:rPr>
        <w:t xml:space="preserve">should advise the </w:t>
      </w:r>
      <w:r w:rsidRPr="005752D4">
        <w:t xml:space="preserve">DWP </w:t>
      </w:r>
      <w:proofErr w:type="spellStart"/>
      <w:r>
        <w:t>MtW</w:t>
      </w:r>
      <w:proofErr w:type="spellEnd"/>
      <w:r>
        <w:t xml:space="preserve"> central</w:t>
      </w:r>
      <w:r w:rsidRPr="005752D4">
        <w:t xml:space="preserve"> team</w:t>
      </w:r>
      <w:r>
        <w:t>.</w:t>
      </w:r>
    </w:p>
    <w:p w14:paraId="50C60516" w14:textId="5710F3C4" w:rsidR="001647C7" w:rsidRDefault="00220A7E" w:rsidP="00DF60FD">
      <w:pPr>
        <w:pStyle w:val="ListBullet2"/>
      </w:pPr>
      <w:proofErr w:type="spellStart"/>
      <w:r>
        <w:t>MtW</w:t>
      </w:r>
      <w:proofErr w:type="spellEnd"/>
      <w:r>
        <w:t xml:space="preserve"> Work Experience Opportunities do not usually require a CV from the Participant. If a CV is required</w:t>
      </w:r>
      <w:r w:rsidR="001647C7" w:rsidRPr="004445FD">
        <w:t xml:space="preserve">, </w:t>
      </w:r>
      <w:r>
        <w:t xml:space="preserve">the Participant Manager </w:t>
      </w:r>
      <w:r w:rsidR="001647C7" w:rsidRPr="004445FD">
        <w:t xml:space="preserve">should let the DWP </w:t>
      </w:r>
      <w:proofErr w:type="spellStart"/>
      <w:r w:rsidR="001647C7">
        <w:t>MtW</w:t>
      </w:r>
      <w:proofErr w:type="spellEnd"/>
      <w:r w:rsidR="001647C7">
        <w:t xml:space="preserve"> central</w:t>
      </w:r>
      <w:r w:rsidR="001647C7" w:rsidRPr="004445FD">
        <w:t xml:space="preserve"> team know when notifying them of a </w:t>
      </w:r>
      <w:r w:rsidR="002C0AD9">
        <w:t>Work Experience Opportunity</w:t>
      </w:r>
      <w:r w:rsidR="001647C7" w:rsidRPr="00096207">
        <w:t>.</w:t>
      </w:r>
    </w:p>
    <w:p w14:paraId="3FDCBC4F" w14:textId="77777777" w:rsidR="005E2C7F" w:rsidRPr="005752D4" w:rsidRDefault="005E2C7F" w:rsidP="005E2C7F">
      <w:pPr>
        <w:pStyle w:val="Heading3"/>
      </w:pPr>
      <w:bookmarkStart w:id="17" w:name="_Toc381107737"/>
      <w:r w:rsidRPr="005752D4">
        <w:t>Equality and diversity</w:t>
      </w:r>
      <w:bookmarkEnd w:id="17"/>
    </w:p>
    <w:p w14:paraId="3FDCBC51" w14:textId="1AE5749D" w:rsidR="005E2C7F" w:rsidRPr="005752D4" w:rsidRDefault="005E2C7F" w:rsidP="009E7666">
      <w:pPr>
        <w:pStyle w:val="ListNumber"/>
        <w:numPr>
          <w:ilvl w:val="0"/>
          <w:numId w:val="13"/>
        </w:numPr>
        <w:tabs>
          <w:tab w:val="clear" w:pos="720"/>
          <w:tab w:val="left" w:pos="851"/>
        </w:tabs>
        <w:ind w:left="567" w:hanging="567"/>
      </w:pPr>
      <w:r w:rsidRPr="005752D4">
        <w:t xml:space="preserve">Benefit claimants are referred to the programme via their Jobcentre </w:t>
      </w:r>
      <w:proofErr w:type="gramStart"/>
      <w:r w:rsidRPr="005752D4">
        <w:t>Plus</w:t>
      </w:r>
      <w:proofErr w:type="gramEnd"/>
      <w:r w:rsidRPr="005752D4">
        <w:t xml:space="preserve"> </w:t>
      </w:r>
      <w:r w:rsidR="00853AC5">
        <w:t>Work Coach</w:t>
      </w:r>
      <w:r w:rsidRPr="005752D4">
        <w:t>. Jobcentre Plus is responsible for ensuring that the process for selecting participants complies with equality legislation.</w:t>
      </w:r>
    </w:p>
    <w:p w14:paraId="3FDCBC52" w14:textId="77777777" w:rsidR="005E2C7F" w:rsidRPr="005752D4" w:rsidRDefault="005E2C7F" w:rsidP="005E2C7F">
      <w:pPr>
        <w:pStyle w:val="Heading3"/>
      </w:pPr>
      <w:bookmarkStart w:id="18" w:name="_Toc381107738"/>
      <w:r w:rsidRPr="005752D4">
        <w:t>The participants</w:t>
      </w:r>
      <w:r w:rsidR="0068727E">
        <w:t>’</w:t>
      </w:r>
      <w:r w:rsidRPr="005752D4">
        <w:t xml:space="preserve"> status</w:t>
      </w:r>
      <w:bookmarkEnd w:id="18"/>
    </w:p>
    <w:p w14:paraId="3FDCBC53" w14:textId="54935072" w:rsidR="005E2C7F" w:rsidRPr="005752D4" w:rsidRDefault="005E2C7F" w:rsidP="00C610FF">
      <w:pPr>
        <w:pStyle w:val="ListNumber"/>
        <w:numPr>
          <w:ilvl w:val="0"/>
          <w:numId w:val="13"/>
        </w:numPr>
        <w:tabs>
          <w:tab w:val="clear" w:pos="720"/>
          <w:tab w:val="left" w:pos="709"/>
        </w:tabs>
        <w:ind w:left="567" w:hanging="567"/>
      </w:pPr>
      <w:r w:rsidRPr="005752D4">
        <w:t xml:space="preserve">Participants undertaking </w:t>
      </w:r>
      <w:r w:rsidR="00D97B20">
        <w:t>Work Experience Opportunities</w:t>
      </w:r>
      <w:r w:rsidRPr="005752D4">
        <w:t xml:space="preserve"> </w:t>
      </w:r>
      <w:r w:rsidR="00CA17A8">
        <w:t>are</w:t>
      </w:r>
      <w:r w:rsidRPr="005752D4">
        <w:t xml:space="preserve"> volunteers and </w:t>
      </w:r>
      <w:r w:rsidR="00CA17A8">
        <w:t xml:space="preserve">will </w:t>
      </w:r>
      <w:r w:rsidRPr="005752D4">
        <w:t xml:space="preserve">not receive any </w:t>
      </w:r>
      <w:r w:rsidR="009543FA" w:rsidRPr="005752D4">
        <w:t>remuneration,</w:t>
      </w:r>
      <w:r w:rsidRPr="005752D4">
        <w:t xml:space="preserve"> as they </w:t>
      </w:r>
      <w:r w:rsidR="00CA17A8">
        <w:t>will not</w:t>
      </w:r>
      <w:r w:rsidRPr="005752D4">
        <w:t xml:space="preserve"> fulfil the function of an employee. They </w:t>
      </w:r>
      <w:r w:rsidR="00CA17A8">
        <w:t>do</w:t>
      </w:r>
      <w:r w:rsidRPr="005752D4">
        <w:t xml:space="preserve"> not have the status of ‘employee’ or ‘worker’ for the purpose of the Employment Rights Act 1996 and other relevant legislation. However, they will still benefit from specific rights afforded to volunteers undertaking </w:t>
      </w:r>
      <w:r w:rsidR="00220A7E">
        <w:t>work placements</w:t>
      </w:r>
      <w:r w:rsidRPr="005752D4">
        <w:t xml:space="preserve"> under relevant legislation, such as the </w:t>
      </w:r>
      <w:hyperlink r:id="rId9" w:history="1">
        <w:r w:rsidRPr="00552BDC">
          <w:rPr>
            <w:rStyle w:val="Hyperlink"/>
          </w:rPr>
          <w:t>Health and Safety at Work Act 1974</w:t>
        </w:r>
      </w:hyperlink>
      <w:r w:rsidRPr="005752D4">
        <w:t>.</w:t>
      </w:r>
      <w:r w:rsidR="00D16938">
        <w:t xml:space="preserve"> </w:t>
      </w:r>
      <w:r w:rsidR="009E7666" w:rsidRPr="009E7666">
        <w:rPr>
          <w:b/>
        </w:rPr>
        <w:t>[DN: Department to add contact details for H&amp;S representative]</w:t>
      </w:r>
    </w:p>
    <w:p w14:paraId="3FDCBC54" w14:textId="391ECC70" w:rsidR="005E2C7F" w:rsidRPr="005752D4" w:rsidRDefault="005E2C7F" w:rsidP="00C610FF">
      <w:pPr>
        <w:pStyle w:val="ListNumber"/>
        <w:numPr>
          <w:ilvl w:val="0"/>
          <w:numId w:val="13"/>
        </w:numPr>
        <w:tabs>
          <w:tab w:val="clear" w:pos="720"/>
          <w:tab w:val="left" w:pos="709"/>
        </w:tabs>
        <w:ind w:left="567" w:hanging="567"/>
      </w:pPr>
      <w:r w:rsidRPr="005752D4">
        <w:t xml:space="preserve">During the </w:t>
      </w:r>
      <w:r w:rsidR="002C0AD9">
        <w:t>Work Experience Opportunity</w:t>
      </w:r>
      <w:r w:rsidRPr="005752D4">
        <w:t>, participants will continue to receive their benefits</w:t>
      </w:r>
      <w:r w:rsidR="00062860">
        <w:t xml:space="preserve"> where applicable</w:t>
      </w:r>
      <w:r w:rsidRPr="005752D4">
        <w:t>.</w:t>
      </w:r>
    </w:p>
    <w:p w14:paraId="269A4B96" w14:textId="61CFECCD" w:rsidR="001B11C3" w:rsidRDefault="005E2C7F" w:rsidP="00C610FF">
      <w:pPr>
        <w:pStyle w:val="ListNumber"/>
        <w:numPr>
          <w:ilvl w:val="0"/>
          <w:numId w:val="13"/>
        </w:numPr>
        <w:tabs>
          <w:tab w:val="clear" w:pos="720"/>
          <w:tab w:val="left" w:pos="709"/>
        </w:tabs>
        <w:ind w:left="567" w:hanging="567"/>
      </w:pPr>
      <w:r w:rsidRPr="005752D4">
        <w:t xml:space="preserve">Participants should be made aware that </w:t>
      </w:r>
      <w:proofErr w:type="gramStart"/>
      <w:r w:rsidRPr="005752D4">
        <w:t>a</w:t>
      </w:r>
      <w:proofErr w:type="gramEnd"/>
      <w:r w:rsidRPr="005752D4">
        <w:t xml:space="preserve"> </w:t>
      </w:r>
      <w:proofErr w:type="spellStart"/>
      <w:r w:rsidR="00EC0D6A">
        <w:t>MtW</w:t>
      </w:r>
      <w:proofErr w:type="spellEnd"/>
      <w:r w:rsidR="00EC0D6A">
        <w:t xml:space="preserve"> </w:t>
      </w:r>
      <w:r w:rsidR="002C0AD9">
        <w:t>Work Experience Opportunity</w:t>
      </w:r>
      <w:r w:rsidRPr="005752D4">
        <w:t xml:space="preserve"> is not a</w:t>
      </w:r>
      <w:r w:rsidR="001B11C3">
        <w:t xml:space="preserve"> </w:t>
      </w:r>
      <w:r w:rsidR="00AD7176">
        <w:t>direct</w:t>
      </w:r>
      <w:r w:rsidRPr="005752D4">
        <w:t xml:space="preserve"> route to employment in the Civil Service. </w:t>
      </w:r>
      <w:r w:rsidR="00062860">
        <w:t xml:space="preserve">However, during </w:t>
      </w:r>
      <w:r w:rsidR="00D97B20">
        <w:t>Work Experience Opportunities</w:t>
      </w:r>
      <w:r w:rsidR="00062860">
        <w:t xml:space="preserve">, participants should be kept informed of any Civil Service vacancies they are eligible to apply </w:t>
      </w:r>
      <w:r w:rsidR="00062860">
        <w:lastRenderedPageBreak/>
        <w:t>for through the external recruitment process.</w:t>
      </w:r>
      <w:r w:rsidR="00A5554E">
        <w:t xml:space="preserve"> They should also be made aware of apprenticeships, such as the Social Mobility apprenticeship, which they could apply for.</w:t>
      </w:r>
    </w:p>
    <w:p w14:paraId="3FDCBC55" w14:textId="53F5AD6B" w:rsidR="005E2C7F" w:rsidRDefault="00D16938" w:rsidP="00C610FF">
      <w:pPr>
        <w:pStyle w:val="ListNumber"/>
        <w:numPr>
          <w:ilvl w:val="0"/>
          <w:numId w:val="13"/>
        </w:numPr>
        <w:tabs>
          <w:tab w:val="clear" w:pos="720"/>
          <w:tab w:val="left" w:pos="709"/>
        </w:tabs>
        <w:ind w:left="567" w:hanging="567"/>
      </w:pPr>
      <w:r>
        <w:t xml:space="preserve">If </w:t>
      </w:r>
      <w:r w:rsidR="00723740">
        <w:t xml:space="preserve">work experience </w:t>
      </w:r>
      <w:r>
        <w:t>participants are inte</w:t>
      </w:r>
      <w:r w:rsidR="00723740">
        <w:t>rested in and decide to apply for</w:t>
      </w:r>
      <w:r>
        <w:t xml:space="preserve"> C</w:t>
      </w:r>
      <w:r w:rsidR="00991C08">
        <w:t xml:space="preserve">ivil </w:t>
      </w:r>
      <w:r>
        <w:t>S</w:t>
      </w:r>
      <w:r w:rsidR="00991C08">
        <w:t>ervice</w:t>
      </w:r>
      <w:r>
        <w:t xml:space="preserve"> v</w:t>
      </w:r>
      <w:r w:rsidR="005E2C7F" w:rsidRPr="005752D4">
        <w:t>acancies</w:t>
      </w:r>
      <w:r>
        <w:t>, they can only do this for roles advertised externally</w:t>
      </w:r>
      <w:r w:rsidR="00723740">
        <w:t>. They should be treated in the same way as other external applicants</w:t>
      </w:r>
      <w:r w:rsidR="006928C1">
        <w:t xml:space="preserve">. </w:t>
      </w:r>
      <w:hyperlink r:id="rId10" w:history="1">
        <w:r w:rsidR="006928C1" w:rsidRPr="006928C1">
          <w:rPr>
            <w:rStyle w:val="Hyperlink"/>
          </w:rPr>
          <w:t>The</w:t>
        </w:r>
        <w:r w:rsidR="00723740" w:rsidRPr="006928C1">
          <w:rPr>
            <w:rStyle w:val="Hyperlink"/>
          </w:rPr>
          <w:t xml:space="preserve"> </w:t>
        </w:r>
        <w:r w:rsidR="006928C1" w:rsidRPr="006928C1">
          <w:rPr>
            <w:rStyle w:val="Hyperlink"/>
          </w:rPr>
          <w:t>Civil Service Recruitment Principles</w:t>
        </w:r>
      </w:hyperlink>
      <w:r w:rsidR="005E2C7F" w:rsidRPr="005752D4">
        <w:t xml:space="preserve"> and the </w:t>
      </w:r>
      <w:hyperlink r:id="rId11" w:history="1">
        <w:r w:rsidR="005E2C7F" w:rsidRPr="006928C1">
          <w:rPr>
            <w:rStyle w:val="Hyperlink"/>
          </w:rPr>
          <w:t>Nationality Rules</w:t>
        </w:r>
      </w:hyperlink>
      <w:r w:rsidR="00723740">
        <w:t>, will apply</w:t>
      </w:r>
      <w:r w:rsidR="005E2C7F" w:rsidRPr="005752D4">
        <w:t xml:space="preserve">. </w:t>
      </w:r>
    </w:p>
    <w:p w14:paraId="3FDCBC58" w14:textId="37F822C3" w:rsidR="005E2C7F" w:rsidRDefault="00245517" w:rsidP="005E2C7F">
      <w:pPr>
        <w:pStyle w:val="Heading2"/>
        <w:spacing w:before="240"/>
      </w:pPr>
      <w:bookmarkStart w:id="19" w:name="_Toc527540887"/>
      <w:r>
        <w:t>Preparing for the</w:t>
      </w:r>
      <w:r w:rsidR="00420505">
        <w:t xml:space="preserve"> </w:t>
      </w:r>
      <w:r w:rsidR="002C0AD9">
        <w:t>Work Experience Opportunity</w:t>
      </w:r>
      <w:bookmarkEnd w:id="19"/>
    </w:p>
    <w:p w14:paraId="7D99F92B" w14:textId="3E9BDC4F" w:rsidR="00545CF2" w:rsidRPr="005752D4" w:rsidRDefault="00220A7E" w:rsidP="00545CF2">
      <w:pPr>
        <w:pStyle w:val="ListNumber"/>
        <w:numPr>
          <w:ilvl w:val="0"/>
          <w:numId w:val="13"/>
        </w:numPr>
        <w:tabs>
          <w:tab w:val="clear" w:pos="720"/>
          <w:tab w:val="left" w:pos="851"/>
        </w:tabs>
        <w:ind w:left="567" w:hanging="567"/>
      </w:pPr>
      <w:r>
        <w:t>Participant Managers</w:t>
      </w:r>
      <w:r w:rsidR="00545CF2" w:rsidRPr="005752D4">
        <w:t xml:space="preserve"> should use the Preparation Checklist to ensure that </w:t>
      </w:r>
      <w:r>
        <w:t>Participant Managers</w:t>
      </w:r>
      <w:r w:rsidR="00545CF2" w:rsidRPr="005752D4">
        <w:t xml:space="preserve"> have covered all key activities that need to be completed before the participant begins their </w:t>
      </w:r>
      <w:r w:rsidR="002C0AD9">
        <w:t>Work Experience Opportunity</w:t>
      </w:r>
      <w:r w:rsidR="00545CF2" w:rsidRPr="005752D4">
        <w:t>.</w:t>
      </w:r>
      <w:r w:rsidR="00A5554E">
        <w:t xml:space="preserve"> Guidance for this can be found in the Participant Manager’s guide. Specific departmental </w:t>
      </w:r>
      <w:proofErr w:type="gramStart"/>
      <w:r w:rsidR="00A5554E">
        <w:t>advise</w:t>
      </w:r>
      <w:proofErr w:type="gramEnd"/>
      <w:r w:rsidR="00A5554E">
        <w:t xml:space="preserve"> can be given by the departmental </w:t>
      </w:r>
      <w:proofErr w:type="spellStart"/>
      <w:r w:rsidR="00A5554E">
        <w:t>SPoC</w:t>
      </w:r>
      <w:proofErr w:type="spellEnd"/>
      <w:r w:rsidR="00A5554E">
        <w:t>.</w:t>
      </w:r>
    </w:p>
    <w:p w14:paraId="170A01AC" w14:textId="3015D5CD" w:rsidR="00A612F5" w:rsidRDefault="00583746" w:rsidP="009E7666">
      <w:pPr>
        <w:pStyle w:val="ListParagraph"/>
        <w:numPr>
          <w:ilvl w:val="0"/>
          <w:numId w:val="13"/>
        </w:numPr>
        <w:spacing w:line="280" w:lineRule="exact"/>
        <w:ind w:left="567" w:hanging="567"/>
      </w:pPr>
      <w:r>
        <w:t>Preparation</w:t>
      </w:r>
      <w:r w:rsidR="00DB0FD2" w:rsidRPr="005752D4">
        <w:t xml:space="preserve"> is essential to providing participants with a meaningful learning opportunity. </w:t>
      </w:r>
      <w:r w:rsidR="00A5554E">
        <w:t xml:space="preserve">Further guidance on preparing the Work Experience Opportunity and a checklist can be provided by the </w:t>
      </w:r>
      <w:proofErr w:type="spellStart"/>
      <w:r w:rsidR="00A5554E">
        <w:t>SPoC</w:t>
      </w:r>
      <w:proofErr w:type="spellEnd"/>
      <w:r w:rsidR="00A5554E">
        <w:t xml:space="preserve"> or on the Intranet.</w:t>
      </w:r>
    </w:p>
    <w:p w14:paraId="2312DF4F" w14:textId="3230F270" w:rsidR="00A612F5" w:rsidRDefault="00A612F5" w:rsidP="009E7666">
      <w:pPr>
        <w:pStyle w:val="ListParagraph"/>
        <w:numPr>
          <w:ilvl w:val="0"/>
          <w:numId w:val="13"/>
        </w:numPr>
        <w:spacing w:line="280" w:lineRule="exact"/>
        <w:ind w:left="567" w:hanging="567"/>
      </w:pPr>
      <w:r w:rsidRPr="00140737">
        <w:t xml:space="preserve">This may be </w:t>
      </w:r>
      <w:r w:rsidR="00A5554E">
        <w:t>the participant’s</w:t>
      </w:r>
      <w:r w:rsidRPr="00140737">
        <w:t xml:space="preserve"> first experience of work, or they may have been outside the workplace for a significant period</w:t>
      </w:r>
      <w:r w:rsidRPr="00B67671">
        <w:t xml:space="preserve">, and they could be nervous or unsure of what to expect. </w:t>
      </w:r>
      <w:r w:rsidR="00220A7E">
        <w:t>Participant Managers</w:t>
      </w:r>
      <w:r w:rsidRPr="00B67671">
        <w:t xml:space="preserve"> can use this opportunity to make sure they kn</w:t>
      </w:r>
      <w:r w:rsidRPr="00D261EB">
        <w:t>ow how to get to the office, who to ask for on arrival, any requirements such as dress standards and whether they need to bring anything with them</w:t>
      </w:r>
      <w:r w:rsidR="00D33AD9">
        <w:t xml:space="preserve"> (such as proof of identity </w:t>
      </w:r>
      <w:proofErr w:type="spellStart"/>
      <w:r w:rsidR="00D33AD9">
        <w:t>etc</w:t>
      </w:r>
      <w:proofErr w:type="spellEnd"/>
      <w:r w:rsidRPr="00D261EB">
        <w:t xml:space="preserve">). </w:t>
      </w:r>
    </w:p>
    <w:p w14:paraId="3A5C523F" w14:textId="53BCD7F8" w:rsidR="000A0B2F" w:rsidRPr="00D71360" w:rsidRDefault="00A612F5" w:rsidP="00BC4ACF">
      <w:pPr>
        <w:pStyle w:val="ListParagraph"/>
        <w:numPr>
          <w:ilvl w:val="0"/>
          <w:numId w:val="13"/>
        </w:numPr>
        <w:spacing w:line="280" w:lineRule="exact"/>
        <w:ind w:left="567" w:hanging="567"/>
      </w:pPr>
      <w:r>
        <w:t>T</w:t>
      </w:r>
      <w:r w:rsidR="00DB0FD2" w:rsidRPr="004D25E7">
        <w:t xml:space="preserve">alk to the participant about what they want to get out of their </w:t>
      </w:r>
      <w:r w:rsidR="002C0AD9">
        <w:t>Work Experience Opportunity</w:t>
      </w:r>
      <w:r w:rsidR="00DB0FD2" w:rsidRPr="004D25E7">
        <w:t xml:space="preserve">. For some, experience of a working environment and the opportunity to build their confidence will be as important as the </w:t>
      </w:r>
      <w:r w:rsidR="005D7B36">
        <w:t>role itself.</w:t>
      </w:r>
      <w:r w:rsidR="00DB0FD2" w:rsidRPr="004D25E7">
        <w:t xml:space="preserve"> </w:t>
      </w:r>
      <w:r w:rsidR="00220A7E">
        <w:t>Participant Managers</w:t>
      </w:r>
      <w:r w:rsidR="00DB0FD2" w:rsidRPr="004D25E7">
        <w:t xml:space="preserve"> should try to ensure that </w:t>
      </w:r>
      <w:r w:rsidR="00DB0FD2">
        <w:t xml:space="preserve">the </w:t>
      </w:r>
      <w:r w:rsidR="002C0AD9">
        <w:t>Work Experience Opportunity</w:t>
      </w:r>
      <w:r w:rsidR="00DB0FD2">
        <w:t xml:space="preserve"> meets their needs. </w:t>
      </w:r>
    </w:p>
    <w:p w14:paraId="3FDCBC6F" w14:textId="44F105F5" w:rsidR="005E2C7F" w:rsidRPr="005752D4" w:rsidRDefault="005E2C7F" w:rsidP="005E2C7F">
      <w:pPr>
        <w:pStyle w:val="Heading3"/>
      </w:pPr>
      <w:bookmarkStart w:id="20" w:name="_Toc381107743"/>
      <w:r w:rsidRPr="005752D4">
        <w:t>Security considerations</w:t>
      </w:r>
      <w:bookmarkEnd w:id="20"/>
    </w:p>
    <w:p w14:paraId="3FDCBC70" w14:textId="77777777" w:rsidR="005E2C7F" w:rsidRPr="005752D4" w:rsidRDefault="005E2C7F" w:rsidP="009E7666">
      <w:pPr>
        <w:pStyle w:val="ListNumber"/>
        <w:numPr>
          <w:ilvl w:val="0"/>
          <w:numId w:val="13"/>
        </w:numPr>
        <w:tabs>
          <w:tab w:val="clear" w:pos="720"/>
          <w:tab w:val="left" w:pos="851"/>
        </w:tabs>
        <w:ind w:left="567" w:hanging="567"/>
      </w:pPr>
      <w:r w:rsidRPr="005752D4">
        <w:t xml:space="preserve">To minimise potential security risks, careful consideration should be given to the type of work that participants undertake. </w:t>
      </w:r>
    </w:p>
    <w:p w14:paraId="3FDCBC71" w14:textId="7A7D37A0" w:rsidR="005E2C7F" w:rsidRPr="009E7666" w:rsidRDefault="0039174C" w:rsidP="009E7666">
      <w:pPr>
        <w:pStyle w:val="ListNumber"/>
        <w:numPr>
          <w:ilvl w:val="0"/>
          <w:numId w:val="13"/>
        </w:numPr>
        <w:tabs>
          <w:tab w:val="clear" w:pos="720"/>
          <w:tab w:val="left" w:pos="851"/>
        </w:tabs>
        <w:ind w:left="567" w:hanging="567"/>
      </w:pPr>
      <w:r w:rsidRPr="009E7666">
        <w:t>Personnel Security and National Security Vetting should not inadvertently become a barrier to</w:t>
      </w:r>
      <w:r w:rsidR="00545CF2">
        <w:t xml:space="preserve"> offering</w:t>
      </w:r>
      <w:r w:rsidRPr="009E7666">
        <w:t xml:space="preserve"> work experience opportunities. </w:t>
      </w:r>
      <w:r w:rsidR="00220A7E">
        <w:t>Participant Managers</w:t>
      </w:r>
      <w:r w:rsidR="00A426BD" w:rsidRPr="009E7666">
        <w:t xml:space="preserve"> should use normal departmental channels for security check</w:t>
      </w:r>
      <w:r w:rsidR="00DE629B">
        <w:t>s</w:t>
      </w:r>
      <w:r w:rsidR="00A426BD" w:rsidRPr="009E7666">
        <w:t xml:space="preserve">. </w:t>
      </w:r>
      <w:r w:rsidR="00A426BD" w:rsidRPr="009E7666">
        <w:rPr>
          <w:b/>
        </w:rPr>
        <w:t>[DN: Department</w:t>
      </w:r>
      <w:r w:rsidR="00EC3F97">
        <w:rPr>
          <w:b/>
        </w:rPr>
        <w:t>s</w:t>
      </w:r>
      <w:r w:rsidR="00A426BD" w:rsidRPr="009E7666">
        <w:rPr>
          <w:b/>
        </w:rPr>
        <w:t xml:space="preserve"> to add contact details for HR/security contact]</w:t>
      </w:r>
    </w:p>
    <w:p w14:paraId="3FDCBC75" w14:textId="1902E68C" w:rsidR="005E2C7F" w:rsidRPr="005752D4" w:rsidRDefault="00220A7E" w:rsidP="009E7666">
      <w:pPr>
        <w:pStyle w:val="ListNumber"/>
        <w:numPr>
          <w:ilvl w:val="0"/>
          <w:numId w:val="13"/>
        </w:numPr>
        <w:tabs>
          <w:tab w:val="clear" w:pos="720"/>
          <w:tab w:val="left" w:pos="851"/>
        </w:tabs>
        <w:ind w:left="567" w:hanging="567"/>
      </w:pPr>
      <w:r>
        <w:t>Participant Managers</w:t>
      </w:r>
      <w:r w:rsidR="00723740">
        <w:t xml:space="preserve"> must</w:t>
      </w:r>
      <w:r w:rsidR="005E2C7F" w:rsidRPr="005752D4">
        <w:t xml:space="preserve"> ensure an effective identification check is undertaken </w:t>
      </w:r>
      <w:r w:rsidR="00723740">
        <w:t xml:space="preserve">for participants </w:t>
      </w:r>
      <w:r w:rsidR="005E2C7F" w:rsidRPr="005752D4">
        <w:t xml:space="preserve">and </w:t>
      </w:r>
      <w:r w:rsidR="00723740">
        <w:t xml:space="preserve">their </w:t>
      </w:r>
      <w:r w:rsidR="005E2C7F" w:rsidRPr="005752D4">
        <w:t>right to work</w:t>
      </w:r>
      <w:r w:rsidR="00723740">
        <w:t xml:space="preserve"> is</w:t>
      </w:r>
      <w:r w:rsidR="005E2C7F" w:rsidRPr="005752D4">
        <w:t xml:space="preserve"> confirmed. </w:t>
      </w:r>
    </w:p>
    <w:p w14:paraId="3FDCBC76" w14:textId="32C27002" w:rsidR="005E2C7F" w:rsidRPr="005752D4" w:rsidRDefault="005E2C7F" w:rsidP="00C87CC1">
      <w:pPr>
        <w:pStyle w:val="ListNumber"/>
        <w:numPr>
          <w:ilvl w:val="0"/>
          <w:numId w:val="13"/>
        </w:numPr>
        <w:tabs>
          <w:tab w:val="clear" w:pos="720"/>
          <w:tab w:val="left" w:pos="851"/>
        </w:tabs>
        <w:ind w:left="567" w:hanging="567"/>
      </w:pPr>
      <w:r w:rsidRPr="005752D4">
        <w:t>Special consideration should be given as to whether D</w:t>
      </w:r>
      <w:r w:rsidR="00753163">
        <w:t xml:space="preserve">isclosure and </w:t>
      </w:r>
      <w:r w:rsidRPr="005752D4">
        <w:t>B</w:t>
      </w:r>
      <w:r w:rsidR="00753163">
        <w:t xml:space="preserve">arring </w:t>
      </w:r>
      <w:r w:rsidRPr="005752D4">
        <w:t>S</w:t>
      </w:r>
      <w:r w:rsidR="00753163">
        <w:t>ervice</w:t>
      </w:r>
      <w:r w:rsidR="00DE629B">
        <w:t xml:space="preserve"> (DBS)</w:t>
      </w:r>
      <w:r w:rsidRPr="005752D4">
        <w:t xml:space="preserve"> checks </w:t>
      </w:r>
      <w:r w:rsidR="00753163">
        <w:t xml:space="preserve">for employees </w:t>
      </w:r>
      <w:r w:rsidRPr="005752D4">
        <w:t xml:space="preserve">are required when working with vulnerable adults. </w:t>
      </w:r>
      <w:r w:rsidR="00220A7E">
        <w:t>Participant Managers</w:t>
      </w:r>
      <w:r w:rsidR="00C87CC1" w:rsidRPr="005752D4">
        <w:t xml:space="preserve"> should contact </w:t>
      </w:r>
      <w:r w:rsidR="00C87CC1">
        <w:t>HR</w:t>
      </w:r>
      <w:r w:rsidR="00C87CC1" w:rsidRPr="005752D4">
        <w:t xml:space="preserve"> if </w:t>
      </w:r>
      <w:r w:rsidR="00220A7E">
        <w:t>Participant Managers</w:t>
      </w:r>
      <w:r w:rsidR="00C87CC1" w:rsidRPr="005752D4">
        <w:t xml:space="preserve"> are unsure whether a DBS check is </w:t>
      </w:r>
      <w:r w:rsidR="00C87CC1" w:rsidRPr="005752D4">
        <w:lastRenderedPageBreak/>
        <w:t>required and for help determining the level of disclosure needed</w:t>
      </w:r>
      <w:r w:rsidR="00C87CC1">
        <w:t xml:space="preserve"> or check with </w:t>
      </w:r>
      <w:hyperlink r:id="rId12" w:history="1">
        <w:r w:rsidR="00C87CC1">
          <w:rPr>
            <w:rStyle w:val="Hyperlink"/>
          </w:rPr>
          <w:t>t</w:t>
        </w:r>
        <w:r w:rsidRPr="00753163">
          <w:rPr>
            <w:rStyle w:val="Hyperlink"/>
          </w:rPr>
          <w:t>he DBS</w:t>
        </w:r>
      </w:hyperlink>
      <w:r w:rsidRPr="005752D4">
        <w:t xml:space="preserve"> </w:t>
      </w:r>
      <w:r w:rsidR="00C87CC1">
        <w:t>directly</w:t>
      </w:r>
      <w:r w:rsidRPr="005752D4">
        <w:t>.</w:t>
      </w:r>
      <w:r w:rsidR="00C87CC1">
        <w:t xml:space="preserve"> </w:t>
      </w:r>
      <w:r w:rsidR="00C87CC1" w:rsidRPr="00A86EFC">
        <w:rPr>
          <w:b/>
        </w:rPr>
        <w:t>[DN: Departments to adjust depending on their internal process]</w:t>
      </w:r>
    </w:p>
    <w:p w14:paraId="3FDCBC77" w14:textId="01F0F84B" w:rsidR="005E2C7F" w:rsidRPr="005752D4" w:rsidRDefault="005E2C7F" w:rsidP="009E7666">
      <w:pPr>
        <w:pStyle w:val="ListNumber"/>
        <w:numPr>
          <w:ilvl w:val="0"/>
          <w:numId w:val="13"/>
        </w:numPr>
        <w:tabs>
          <w:tab w:val="clear" w:pos="720"/>
          <w:tab w:val="left" w:pos="851"/>
        </w:tabs>
        <w:ind w:left="567" w:hanging="567"/>
      </w:pPr>
      <w:r w:rsidRPr="005752D4">
        <w:t xml:space="preserve">Any personal information obtained should be collected, held and processed in compliance with </w:t>
      </w:r>
      <w:r w:rsidR="00545CF2">
        <w:t>departmental data handling rules</w:t>
      </w:r>
      <w:r w:rsidR="0039174C">
        <w:t>.</w:t>
      </w:r>
      <w:r w:rsidR="00BC4CA8">
        <w:t xml:space="preserve"> </w:t>
      </w:r>
      <w:r w:rsidR="00A426BD" w:rsidRPr="00EF4DA0">
        <w:rPr>
          <w:b/>
        </w:rPr>
        <w:t>[</w:t>
      </w:r>
      <w:r w:rsidR="00BC4CA8" w:rsidRPr="00EF4DA0">
        <w:rPr>
          <w:b/>
        </w:rPr>
        <w:t xml:space="preserve">DN: </w:t>
      </w:r>
      <w:r w:rsidR="00A426BD" w:rsidRPr="00EF4DA0">
        <w:rPr>
          <w:b/>
        </w:rPr>
        <w:t>D</w:t>
      </w:r>
      <w:r w:rsidR="00BC4CA8" w:rsidRPr="00EF4DA0">
        <w:rPr>
          <w:b/>
        </w:rPr>
        <w:t>epartments to insert where managers can find more information on holding data</w:t>
      </w:r>
      <w:r w:rsidR="00A426BD" w:rsidRPr="00EF4DA0">
        <w:rPr>
          <w:b/>
        </w:rPr>
        <w:t>]</w:t>
      </w:r>
    </w:p>
    <w:p w14:paraId="3FDCBC78" w14:textId="5A79E3C0" w:rsidR="005E2C7F" w:rsidRPr="005752D4" w:rsidRDefault="005E2C7F" w:rsidP="009E7666">
      <w:pPr>
        <w:pStyle w:val="ListNumber"/>
        <w:numPr>
          <w:ilvl w:val="0"/>
          <w:numId w:val="13"/>
        </w:numPr>
        <w:tabs>
          <w:tab w:val="clear" w:pos="720"/>
          <w:tab w:val="left" w:pos="851"/>
        </w:tabs>
        <w:ind w:left="567" w:hanging="567"/>
      </w:pPr>
      <w:r w:rsidRPr="005752D4">
        <w:t xml:space="preserve">The Nationality Rules that apply to Civil Service recruitment do not apply to </w:t>
      </w:r>
      <w:proofErr w:type="spellStart"/>
      <w:r w:rsidR="00324BB7">
        <w:t>MtW</w:t>
      </w:r>
      <w:proofErr w:type="spellEnd"/>
      <w:r w:rsidRPr="005752D4">
        <w:t xml:space="preserve"> participants. </w:t>
      </w:r>
      <w:r w:rsidR="00220A7E">
        <w:t>Participant Managers</w:t>
      </w:r>
      <w:r w:rsidRPr="005752D4">
        <w:t xml:space="preserve"> should nevertheless ensure that all participants are appropriately supervised and that particular regard is paid to</w:t>
      </w:r>
      <w:r w:rsidR="00044D49">
        <w:t xml:space="preserve"> </w:t>
      </w:r>
      <w:r w:rsidRPr="005752D4">
        <w:t>information security.</w:t>
      </w:r>
    </w:p>
    <w:p w14:paraId="3FDCBC81" w14:textId="0B1D8991" w:rsidR="005E2C7F" w:rsidRPr="005752D4" w:rsidRDefault="00157171" w:rsidP="005E2C7F">
      <w:pPr>
        <w:pStyle w:val="Heading3"/>
      </w:pPr>
      <w:bookmarkStart w:id="21" w:name="_Toc381107747"/>
      <w:r>
        <w:t>Workplac</w:t>
      </w:r>
      <w:r w:rsidRPr="005752D4">
        <w:t xml:space="preserve">e </w:t>
      </w:r>
      <w:r w:rsidR="005E2C7F" w:rsidRPr="005752D4">
        <w:t>adjustments</w:t>
      </w:r>
      <w:bookmarkEnd w:id="21"/>
    </w:p>
    <w:p w14:paraId="044FDE01" w14:textId="77777777" w:rsidR="00111851" w:rsidRPr="00111851" w:rsidRDefault="00111851" w:rsidP="00111851">
      <w:pPr>
        <w:pStyle w:val="ListBullet2"/>
      </w:pPr>
      <w:r w:rsidRPr="00111851">
        <w:t xml:space="preserve">Workplace adjustments are used to remove barriers or a disadvantage for people with a disability, but could also help people who don’t have a disability by enabling them to develop and fulfil their potential. This could be a change to a policy, working arrangement or providing equipment. Participant Managers should work with Jobcentre Plus and claimants to identify and put into place workplace adjustments. </w:t>
      </w:r>
    </w:p>
    <w:p w14:paraId="719D2D8B" w14:textId="155D4D20" w:rsidR="00520478" w:rsidRPr="005752D4" w:rsidRDefault="00520478" w:rsidP="00DF60FD">
      <w:pPr>
        <w:pStyle w:val="ListNumber"/>
        <w:numPr>
          <w:ilvl w:val="0"/>
          <w:numId w:val="13"/>
        </w:numPr>
        <w:tabs>
          <w:tab w:val="clear" w:pos="720"/>
          <w:tab w:val="left" w:pos="851"/>
        </w:tabs>
        <w:ind w:left="567" w:hanging="567"/>
      </w:pPr>
      <w:r>
        <w:t xml:space="preserve">Where a workplace adjustment is required under the </w:t>
      </w:r>
      <w:r w:rsidR="00DF60FD">
        <w:t xml:space="preserve">Equality Act 2010, the host department will be responsible for implementing and funding the adjustment. </w:t>
      </w:r>
      <w:r w:rsidR="00DF60FD" w:rsidRPr="005752D4">
        <w:t>If necessary, further advice shou</w:t>
      </w:r>
      <w:r w:rsidR="00DF60FD">
        <w:t>ld be sought from departmental Occupational H</w:t>
      </w:r>
      <w:r w:rsidR="00DF60FD" w:rsidRPr="005752D4">
        <w:t>ealth or health and safety teams.</w:t>
      </w:r>
      <w:r w:rsidR="00DF60FD">
        <w:t xml:space="preserve"> </w:t>
      </w:r>
      <w:r w:rsidR="00DF60FD" w:rsidRPr="005A5F37">
        <w:rPr>
          <w:b/>
        </w:rPr>
        <w:t>[DN: Department</w:t>
      </w:r>
      <w:r w:rsidR="00DF60FD">
        <w:rPr>
          <w:b/>
        </w:rPr>
        <w:t>s</w:t>
      </w:r>
      <w:r w:rsidR="00DF60FD" w:rsidRPr="005A5F37">
        <w:rPr>
          <w:b/>
        </w:rPr>
        <w:t xml:space="preserve"> to add </w:t>
      </w:r>
      <w:r w:rsidR="00DF60FD">
        <w:rPr>
          <w:b/>
        </w:rPr>
        <w:t>OH</w:t>
      </w:r>
      <w:r w:rsidR="00DF60FD" w:rsidRPr="005A5F37">
        <w:rPr>
          <w:b/>
        </w:rPr>
        <w:t xml:space="preserve"> contact]</w:t>
      </w:r>
      <w:r w:rsidR="00DF60FD">
        <w:t>.</w:t>
      </w:r>
    </w:p>
    <w:p w14:paraId="3FDCBC9D" w14:textId="6E2C0061" w:rsidR="005E2C7F" w:rsidRPr="005752D4" w:rsidRDefault="005E2C7F" w:rsidP="005E2C7F">
      <w:pPr>
        <w:pStyle w:val="Heading3"/>
      </w:pPr>
      <w:bookmarkStart w:id="22" w:name="P188_21105"/>
      <w:bookmarkStart w:id="23" w:name="_Toc381107749"/>
      <w:bookmarkEnd w:id="22"/>
      <w:r w:rsidRPr="005752D4">
        <w:t>Welcome letters</w:t>
      </w:r>
      <w:bookmarkEnd w:id="23"/>
    </w:p>
    <w:p w14:paraId="3FDCBC9E" w14:textId="55542C9D" w:rsidR="005E2C7F" w:rsidRDefault="005E2C7F" w:rsidP="009E7666">
      <w:pPr>
        <w:pStyle w:val="ListNumber"/>
        <w:numPr>
          <w:ilvl w:val="0"/>
          <w:numId w:val="13"/>
        </w:numPr>
        <w:tabs>
          <w:tab w:val="clear" w:pos="720"/>
          <w:tab w:val="left" w:pos="851"/>
        </w:tabs>
        <w:ind w:left="567" w:hanging="567"/>
      </w:pPr>
      <w:r w:rsidRPr="005752D4">
        <w:t xml:space="preserve">Once the </w:t>
      </w:r>
      <w:r w:rsidR="002C0AD9">
        <w:t>Work Experience Opportunity</w:t>
      </w:r>
      <w:r w:rsidRPr="005752D4">
        <w:t xml:space="preserve"> has been agreed and the appropriate checks completed, </w:t>
      </w:r>
      <w:r w:rsidR="00220A7E">
        <w:t>Participant Managers</w:t>
      </w:r>
      <w:r w:rsidRPr="005752D4">
        <w:t xml:space="preserve"> should send the participant a welcome letter covering practical arrangements.</w:t>
      </w:r>
      <w:r w:rsidR="00157171">
        <w:t xml:space="preserve"> </w:t>
      </w:r>
      <w:r w:rsidR="00A5554E">
        <w:t>An example welcome letter can be found in the Participant Manager’s Toolkit.</w:t>
      </w:r>
    </w:p>
    <w:p w14:paraId="2597188A" w14:textId="39F144EE" w:rsidR="003E5F2E" w:rsidRDefault="003E5F2E" w:rsidP="009E7666">
      <w:pPr>
        <w:pStyle w:val="ListNumber"/>
        <w:numPr>
          <w:ilvl w:val="0"/>
          <w:numId w:val="13"/>
        </w:numPr>
        <w:tabs>
          <w:tab w:val="clear" w:pos="720"/>
          <w:tab w:val="left" w:pos="851"/>
        </w:tabs>
        <w:ind w:left="567" w:hanging="567"/>
      </w:pPr>
      <w:r>
        <w:t>Participant Managers should meet with the Participant prior to the Work Experience Opportunity starts in order to discuss special requirements.</w:t>
      </w:r>
    </w:p>
    <w:p w14:paraId="77EE4376" w14:textId="719B6588" w:rsidR="003E5F2E" w:rsidRDefault="003E5F2E" w:rsidP="009E7666">
      <w:pPr>
        <w:pStyle w:val="ListNumber"/>
        <w:numPr>
          <w:ilvl w:val="0"/>
          <w:numId w:val="13"/>
        </w:numPr>
        <w:tabs>
          <w:tab w:val="clear" w:pos="720"/>
          <w:tab w:val="left" w:pos="851"/>
        </w:tabs>
        <w:ind w:left="567" w:hanging="567"/>
      </w:pPr>
      <w:r>
        <w:t xml:space="preserve">Participant Managers should take into account special requirements, such as Job Centre Plus appointments, medical appointments, probation requirements, caring commitments and any other commitments which mean that the Participant’s commitment to </w:t>
      </w:r>
      <w:proofErr w:type="spellStart"/>
      <w:r>
        <w:t>MtW</w:t>
      </w:r>
      <w:proofErr w:type="spellEnd"/>
      <w:r>
        <w:t xml:space="preserve"> should be altered.</w:t>
      </w:r>
    </w:p>
    <w:p w14:paraId="26B7FCAD" w14:textId="17F8AF8E" w:rsidR="003E5F2E" w:rsidRDefault="003E5F2E" w:rsidP="009E7666">
      <w:pPr>
        <w:pStyle w:val="ListNumber"/>
        <w:numPr>
          <w:ilvl w:val="0"/>
          <w:numId w:val="13"/>
        </w:numPr>
        <w:tabs>
          <w:tab w:val="clear" w:pos="720"/>
          <w:tab w:val="left" w:pos="851"/>
        </w:tabs>
        <w:ind w:left="567" w:hanging="567"/>
      </w:pPr>
      <w:r>
        <w:t xml:space="preserve">Participant Managers should tailor the Work Experience Opportunity to suit each individual Participant’s needs. This could be </w:t>
      </w:r>
      <w:r w:rsidR="00385271">
        <w:t xml:space="preserve">to include more sessions on a certain subject, for example interview technique, or to remove sessions that would not be helpful for the individual. </w:t>
      </w:r>
    </w:p>
    <w:p w14:paraId="3A738CF0" w14:textId="6B969F12" w:rsidR="00385271" w:rsidRPr="005752D4" w:rsidRDefault="00385271" w:rsidP="009E7666">
      <w:pPr>
        <w:pStyle w:val="ListNumber"/>
        <w:numPr>
          <w:ilvl w:val="0"/>
          <w:numId w:val="13"/>
        </w:numPr>
        <w:tabs>
          <w:tab w:val="clear" w:pos="720"/>
          <w:tab w:val="left" w:pos="851"/>
        </w:tabs>
        <w:ind w:left="567" w:hanging="567"/>
      </w:pPr>
      <w:r>
        <w:t xml:space="preserve">Where possible, Participants should be allowed the opportunity to explore particular areas that they are interested in. </w:t>
      </w:r>
    </w:p>
    <w:p w14:paraId="3FDCBCA6" w14:textId="4899F45B" w:rsidR="005E2C7F" w:rsidRPr="005752D4" w:rsidRDefault="005E2C7F" w:rsidP="005E2C7F">
      <w:pPr>
        <w:pStyle w:val="Heading2"/>
        <w:spacing w:before="240"/>
      </w:pPr>
      <w:bookmarkStart w:id="24" w:name="_Toc381107750"/>
      <w:bookmarkStart w:id="25" w:name="_Toc383097663"/>
      <w:bookmarkStart w:id="26" w:name="_Toc527540888"/>
      <w:r w:rsidRPr="005752D4">
        <w:lastRenderedPageBreak/>
        <w:t xml:space="preserve">During the </w:t>
      </w:r>
      <w:r w:rsidR="002C0AD9">
        <w:t>Work Experience Opportunity</w:t>
      </w:r>
      <w:bookmarkEnd w:id="24"/>
      <w:bookmarkEnd w:id="25"/>
      <w:bookmarkEnd w:id="26"/>
    </w:p>
    <w:p w14:paraId="3FDCBCA7" w14:textId="77777777" w:rsidR="005E2C7F" w:rsidRPr="005752D4" w:rsidRDefault="005E2C7F" w:rsidP="005E2C7F">
      <w:pPr>
        <w:pStyle w:val="Heading3"/>
      </w:pPr>
      <w:bookmarkStart w:id="27" w:name="_Toc381107751"/>
      <w:r w:rsidRPr="005752D4">
        <w:t>Induction process</w:t>
      </w:r>
      <w:bookmarkEnd w:id="27"/>
    </w:p>
    <w:p w14:paraId="3FDCBCA8" w14:textId="161BA1AC" w:rsidR="005E2C7F" w:rsidRDefault="005E2C7F" w:rsidP="009E7666">
      <w:pPr>
        <w:pStyle w:val="ListNumber"/>
        <w:numPr>
          <w:ilvl w:val="0"/>
          <w:numId w:val="13"/>
        </w:numPr>
        <w:tabs>
          <w:tab w:val="clear" w:pos="720"/>
          <w:tab w:val="left" w:pos="851"/>
        </w:tabs>
        <w:ind w:left="567" w:hanging="567"/>
      </w:pPr>
      <w:r w:rsidRPr="005752D4">
        <w:t xml:space="preserve">An induction should take place, ideally on the first day of the </w:t>
      </w:r>
      <w:r w:rsidR="002C0AD9">
        <w:t>Work Experience Opportunity</w:t>
      </w:r>
      <w:r w:rsidRPr="005752D4">
        <w:t xml:space="preserve">. It may be possible to group participants together if they are joining at the same time. The induction needs to be comprehensive </w:t>
      </w:r>
      <w:r w:rsidR="007E0CDB">
        <w:t>and ensure it covers the</w:t>
      </w:r>
      <w:r w:rsidRPr="005752D4">
        <w:t xml:space="preserve"> minimum requirements to enable participants to spend as much time as possible undertaking work-based activities and learning in the workplace.</w:t>
      </w:r>
    </w:p>
    <w:p w14:paraId="3FDCBCA9" w14:textId="289ECA3B" w:rsidR="005E2C7F" w:rsidRDefault="005E2C7F" w:rsidP="009E7666">
      <w:pPr>
        <w:pStyle w:val="ListNumber"/>
        <w:numPr>
          <w:ilvl w:val="0"/>
          <w:numId w:val="13"/>
        </w:numPr>
        <w:tabs>
          <w:tab w:val="clear" w:pos="720"/>
          <w:tab w:val="left" w:pos="851"/>
        </w:tabs>
        <w:ind w:left="567" w:hanging="567"/>
      </w:pPr>
      <w:r w:rsidRPr="005752D4">
        <w:t xml:space="preserve">Participants should also be provided with the </w:t>
      </w:r>
      <w:r w:rsidR="00A5554E">
        <w:t>Participant Workbook</w:t>
      </w:r>
      <w:r w:rsidR="00216899">
        <w:t>, which have</w:t>
      </w:r>
      <w:r w:rsidRPr="005752D4">
        <w:t xml:space="preserve"> been designed for them to record their experiences during the </w:t>
      </w:r>
      <w:r w:rsidR="002C0AD9">
        <w:t>Work Experience Opportunity</w:t>
      </w:r>
      <w:r w:rsidRPr="005752D4">
        <w:t>.</w:t>
      </w:r>
      <w:r w:rsidR="00A932A8">
        <w:t xml:space="preserve"> </w:t>
      </w:r>
      <w:r w:rsidR="00A5554E">
        <w:t>These will be provided to the Participant Manager.</w:t>
      </w:r>
    </w:p>
    <w:p w14:paraId="3FDCBCAA" w14:textId="18D2789E" w:rsidR="005E2C7F" w:rsidRDefault="00220A7E" w:rsidP="009E7666">
      <w:pPr>
        <w:pStyle w:val="ListNumber"/>
        <w:numPr>
          <w:ilvl w:val="0"/>
          <w:numId w:val="13"/>
        </w:numPr>
        <w:tabs>
          <w:tab w:val="clear" w:pos="720"/>
          <w:tab w:val="left" w:pos="851"/>
        </w:tabs>
        <w:ind w:left="567" w:hanging="567"/>
      </w:pPr>
      <w:r>
        <w:t>Participant Managers</w:t>
      </w:r>
      <w:r w:rsidR="00863983">
        <w:t xml:space="preserve"> must tell Participants to complete the online Equal Opportunities Form on their first day. The form can be found </w:t>
      </w:r>
      <w:hyperlink r:id="rId13" w:history="1">
        <w:r w:rsidR="006510C0" w:rsidRPr="006510C0">
          <w:rPr>
            <w:rStyle w:val="Hyperlink"/>
          </w:rPr>
          <w:t>by clicking here</w:t>
        </w:r>
      </w:hyperlink>
      <w:r w:rsidR="006510C0">
        <w:t>.</w:t>
      </w:r>
    </w:p>
    <w:p w14:paraId="2D198482" w14:textId="1A913DEE" w:rsidR="00A807D3" w:rsidRDefault="00A807D3" w:rsidP="00A807D3">
      <w:pPr>
        <w:pStyle w:val="ListNumber"/>
        <w:numPr>
          <w:ilvl w:val="0"/>
          <w:numId w:val="13"/>
        </w:numPr>
        <w:tabs>
          <w:tab w:val="clear" w:pos="720"/>
          <w:tab w:val="left" w:pos="851"/>
        </w:tabs>
        <w:ind w:left="567" w:hanging="567"/>
      </w:pPr>
      <w:r w:rsidRPr="005752D4">
        <w:t xml:space="preserve">The Permanent Secretary or Chief Executive </w:t>
      </w:r>
      <w:r w:rsidRPr="005752D4">
        <w:rPr>
          <w:b/>
        </w:rPr>
        <w:t>[</w:t>
      </w:r>
      <w:r w:rsidRPr="005752D4">
        <w:rPr>
          <w:rStyle w:val="NormalBoldChar"/>
        </w:rPr>
        <w:t xml:space="preserve">DN: Departments to adapt to suit local arrangements] </w:t>
      </w:r>
      <w:r w:rsidRPr="005752D4">
        <w:t xml:space="preserve">may </w:t>
      </w:r>
      <w:r>
        <w:t>have</w:t>
      </w:r>
      <w:r w:rsidRPr="005752D4">
        <w:t xml:space="preserve"> agreed to a personalised letter being issued on their behalf. If so, </w:t>
      </w:r>
      <w:r w:rsidR="00220A7E">
        <w:t>Participant Managers</w:t>
      </w:r>
      <w:r w:rsidRPr="005752D4">
        <w:t xml:space="preserve"> will need to issue this to the participant on their first day. </w:t>
      </w:r>
      <w:r w:rsidRPr="005752D4">
        <w:rPr>
          <w:rStyle w:val="NormalBoldChar"/>
        </w:rPr>
        <w:t>[DN: Departments to insert link to the letter if appropriate</w:t>
      </w:r>
      <w:r>
        <w:rPr>
          <w:rStyle w:val="NormalBoldChar"/>
        </w:rPr>
        <w:t xml:space="preserve"> or remove paragraph if not</w:t>
      </w:r>
      <w:r w:rsidRPr="005752D4">
        <w:rPr>
          <w:rStyle w:val="NormalBoldChar"/>
        </w:rPr>
        <w:t>]</w:t>
      </w:r>
    </w:p>
    <w:p w14:paraId="1C8A5FCC" w14:textId="59CA1C75" w:rsidR="00AF6B1A" w:rsidRDefault="005E2C7F" w:rsidP="009E7666">
      <w:pPr>
        <w:pStyle w:val="ListNumber"/>
        <w:numPr>
          <w:ilvl w:val="0"/>
          <w:numId w:val="13"/>
        </w:numPr>
        <w:tabs>
          <w:tab w:val="clear" w:pos="720"/>
          <w:tab w:val="left" w:pos="851"/>
        </w:tabs>
        <w:ind w:left="567" w:hanging="567"/>
      </w:pPr>
      <w:r w:rsidRPr="005752D4">
        <w:t xml:space="preserve">Refer to the Department’s induction processes for new starters and identify which elements are mandatory requirements, for example, health and safety and security. </w:t>
      </w:r>
      <w:r w:rsidRPr="005752D4">
        <w:rPr>
          <w:rStyle w:val="NormalBoldChar"/>
        </w:rPr>
        <w:t>[DN: Departments to adapt to suit local arrangements.]</w:t>
      </w:r>
      <w:r w:rsidR="00157171">
        <w:rPr>
          <w:rStyle w:val="NormalBoldChar"/>
        </w:rPr>
        <w:t xml:space="preserve"> </w:t>
      </w:r>
      <w:r w:rsidR="00F52542">
        <w:t>At a minimum, an induction should include</w:t>
      </w:r>
      <w:r w:rsidR="00AF6B1A">
        <w:t>:</w:t>
      </w:r>
    </w:p>
    <w:p w14:paraId="65A4CC0A" w14:textId="4D73F03E" w:rsidR="00F52542" w:rsidRDefault="00F52542" w:rsidP="00C610FF">
      <w:pPr>
        <w:pStyle w:val="ListNumber"/>
        <w:numPr>
          <w:ilvl w:val="0"/>
          <w:numId w:val="16"/>
        </w:numPr>
        <w:tabs>
          <w:tab w:val="clear" w:pos="720"/>
          <w:tab w:val="left" w:pos="851"/>
        </w:tabs>
        <w:ind w:left="1134" w:hanging="283"/>
      </w:pPr>
      <w:r>
        <w:t>an introduction to the team, colleagues and buddy</w:t>
      </w:r>
    </w:p>
    <w:p w14:paraId="0B761E45" w14:textId="26BD4595" w:rsidR="00F52542" w:rsidRDefault="00F52542" w:rsidP="00C610FF">
      <w:pPr>
        <w:pStyle w:val="ListNumber"/>
        <w:numPr>
          <w:ilvl w:val="0"/>
          <w:numId w:val="16"/>
        </w:numPr>
        <w:tabs>
          <w:tab w:val="clear" w:pos="720"/>
          <w:tab w:val="left" w:pos="851"/>
        </w:tabs>
        <w:ind w:left="1134" w:hanging="283"/>
      </w:pPr>
      <w:r>
        <w:t>domestic arrangements, such as working hours and break times</w:t>
      </w:r>
    </w:p>
    <w:p w14:paraId="340E6173" w14:textId="4C7F17F4" w:rsidR="00F52542" w:rsidRDefault="00F52542" w:rsidP="00C610FF">
      <w:pPr>
        <w:pStyle w:val="ListNumber"/>
        <w:numPr>
          <w:ilvl w:val="0"/>
          <w:numId w:val="16"/>
        </w:numPr>
        <w:tabs>
          <w:tab w:val="clear" w:pos="720"/>
          <w:tab w:val="left" w:pos="851"/>
        </w:tabs>
        <w:ind w:left="1134" w:hanging="283"/>
      </w:pPr>
      <w:r>
        <w:t>a tour of the workplace, highlighting available facilities</w:t>
      </w:r>
    </w:p>
    <w:p w14:paraId="46231F93" w14:textId="54D5D254" w:rsidR="00F52542" w:rsidRDefault="00F52542" w:rsidP="00C610FF">
      <w:pPr>
        <w:pStyle w:val="ListNumber"/>
        <w:numPr>
          <w:ilvl w:val="0"/>
          <w:numId w:val="16"/>
        </w:numPr>
        <w:tabs>
          <w:tab w:val="clear" w:pos="720"/>
          <w:tab w:val="left" w:pos="851"/>
        </w:tabs>
        <w:ind w:left="1134" w:hanging="283"/>
      </w:pPr>
      <w:proofErr w:type="gramStart"/>
      <w:r>
        <w:t>an</w:t>
      </w:r>
      <w:proofErr w:type="gramEnd"/>
      <w:r>
        <w:t xml:space="preserve"> explanat</w:t>
      </w:r>
      <w:r w:rsidR="00753163">
        <w:t>ion of the work of the team and the tasks the participant will complete.</w:t>
      </w:r>
    </w:p>
    <w:p w14:paraId="441D5F8A" w14:textId="2B819299" w:rsidR="00A67BAB" w:rsidRDefault="00A67BAB" w:rsidP="0053116B">
      <w:pPr>
        <w:pStyle w:val="ListBullet2"/>
      </w:pPr>
      <w:r>
        <w:t>Participants may have little or no experience in the workplace, so extra emphasis may need to be placed on standards of behaviour and dress codes.</w:t>
      </w:r>
    </w:p>
    <w:p w14:paraId="70DAB3C1" w14:textId="335F9FEE" w:rsidR="00E4148F" w:rsidRDefault="00220A7E" w:rsidP="009E7666">
      <w:pPr>
        <w:pStyle w:val="ListNumber"/>
        <w:numPr>
          <w:ilvl w:val="0"/>
          <w:numId w:val="13"/>
        </w:numPr>
        <w:ind w:left="567" w:hanging="567"/>
      </w:pPr>
      <w:r>
        <w:t>Participant Managers</w:t>
      </w:r>
      <w:r w:rsidR="00F53627">
        <w:t xml:space="preserve"> may want to </w:t>
      </w:r>
      <w:r w:rsidR="00887E35">
        <w:t>mention which trade u</w:t>
      </w:r>
      <w:r w:rsidR="00BC5591">
        <w:t xml:space="preserve">nions are recognised by the Civil Service as part of the </w:t>
      </w:r>
      <w:proofErr w:type="spellStart"/>
      <w:r w:rsidR="00BC5591">
        <w:t>MtW</w:t>
      </w:r>
      <w:proofErr w:type="spellEnd"/>
      <w:r w:rsidR="00BC5591">
        <w:t xml:space="preserve"> induction process. In general, there</w:t>
      </w:r>
      <w:r w:rsidR="00F127F4">
        <w:t xml:space="preserve"> is strong TU support for </w:t>
      </w:r>
      <w:proofErr w:type="spellStart"/>
      <w:r w:rsidR="00F127F4">
        <w:t>MtW</w:t>
      </w:r>
      <w:proofErr w:type="spellEnd"/>
      <w:r w:rsidR="00F127F4">
        <w:t xml:space="preserve">. </w:t>
      </w:r>
      <w:r>
        <w:t>Participant Managers</w:t>
      </w:r>
      <w:r w:rsidR="00BC5591">
        <w:t xml:space="preserve"> do not need to advise local union representatives that there is </w:t>
      </w:r>
      <w:proofErr w:type="gramStart"/>
      <w:r w:rsidR="00BC5591">
        <w:t>a</w:t>
      </w:r>
      <w:proofErr w:type="gramEnd"/>
      <w:r w:rsidR="00BC5591">
        <w:t xml:space="preserve"> </w:t>
      </w:r>
      <w:proofErr w:type="spellStart"/>
      <w:r w:rsidR="00BC5591">
        <w:t>MtW</w:t>
      </w:r>
      <w:proofErr w:type="spellEnd"/>
      <w:r w:rsidR="00BC5591">
        <w:t xml:space="preserve"> participant joining.</w:t>
      </w:r>
    </w:p>
    <w:p w14:paraId="4E9B73CE" w14:textId="0E5DDC54" w:rsidR="00B67671" w:rsidRDefault="00B67671" w:rsidP="009E7666">
      <w:pPr>
        <w:pStyle w:val="ListParagraph"/>
        <w:numPr>
          <w:ilvl w:val="0"/>
          <w:numId w:val="13"/>
        </w:numPr>
        <w:spacing w:line="280" w:lineRule="exact"/>
        <w:ind w:left="567" w:hanging="567"/>
      </w:pPr>
      <w:r>
        <w:t>D</w:t>
      </w:r>
      <w:r w:rsidRPr="004D25E7">
        <w:t>epend</w:t>
      </w:r>
      <w:r>
        <w:t xml:space="preserve">ing on </w:t>
      </w:r>
      <w:r w:rsidR="00220A7E">
        <w:t>Participant Managers</w:t>
      </w:r>
      <w:r w:rsidR="00A5554E">
        <w:t>’</w:t>
      </w:r>
      <w:r>
        <w:t xml:space="preserve"> </w:t>
      </w:r>
      <w:r w:rsidRPr="004D25E7">
        <w:t>departmental guidance and the</w:t>
      </w:r>
      <w:r>
        <w:t xml:space="preserve"> type of</w:t>
      </w:r>
      <w:r w:rsidRPr="004D25E7">
        <w:t xml:space="preserve"> role </w:t>
      </w:r>
      <w:r>
        <w:t>assign</w:t>
      </w:r>
      <w:r w:rsidR="00A5554E">
        <w:t>ed</w:t>
      </w:r>
      <w:r>
        <w:t xml:space="preserve"> to the participant</w:t>
      </w:r>
      <w:r w:rsidR="00A5554E">
        <w:t>,</w:t>
      </w:r>
      <w:r>
        <w:t xml:space="preserve"> </w:t>
      </w:r>
      <w:r w:rsidR="00220A7E">
        <w:t>Participant Managers</w:t>
      </w:r>
      <w:r>
        <w:t xml:space="preserve"> may want to give them a name badge.</w:t>
      </w:r>
    </w:p>
    <w:p w14:paraId="3CB68D9D" w14:textId="6BF012D1" w:rsidR="00B67671" w:rsidRPr="004D25E7" w:rsidRDefault="00B67671" w:rsidP="009E7666">
      <w:pPr>
        <w:pStyle w:val="ListParagraph"/>
        <w:numPr>
          <w:ilvl w:val="0"/>
          <w:numId w:val="13"/>
        </w:numPr>
        <w:spacing w:line="280" w:lineRule="exact"/>
        <w:ind w:left="567" w:hanging="567"/>
      </w:pPr>
      <w:r w:rsidRPr="00FA4987">
        <w:t>A participant wearing a name badge whilst engaged in a customer-facing role might cause confusion,</w:t>
      </w:r>
      <w:r>
        <w:t xml:space="preserve"> as c</w:t>
      </w:r>
      <w:r w:rsidRPr="004D25E7">
        <w:t>ustomer</w:t>
      </w:r>
      <w:r>
        <w:t>s may perceive</w:t>
      </w:r>
      <w:r w:rsidRPr="004D25E7">
        <w:t xml:space="preserve"> the</w:t>
      </w:r>
      <w:r>
        <w:t>m</w:t>
      </w:r>
      <w:r w:rsidRPr="004D25E7">
        <w:t xml:space="preserve"> to be a member of staff. </w:t>
      </w:r>
      <w:r>
        <w:t xml:space="preserve">If </w:t>
      </w:r>
      <w:r w:rsidR="00220A7E">
        <w:t>Participant Managers</w:t>
      </w:r>
      <w:r>
        <w:t xml:space="preserve"> </w:t>
      </w:r>
      <w:r>
        <w:lastRenderedPageBreak/>
        <w:t>do issue a name badge, it must be</w:t>
      </w:r>
      <w:r w:rsidRPr="004D25E7">
        <w:t xml:space="preserve"> handed back at the end of the </w:t>
      </w:r>
      <w:r w:rsidR="002C0AD9">
        <w:t>Work Experience Opportunity</w:t>
      </w:r>
      <w:r w:rsidRPr="004D25E7">
        <w:t>.</w:t>
      </w:r>
    </w:p>
    <w:p w14:paraId="3FDCBCAE" w14:textId="6BC1F38A" w:rsidR="005E2C7F" w:rsidRPr="005752D4" w:rsidRDefault="005E2C7F" w:rsidP="005E2C7F">
      <w:pPr>
        <w:pStyle w:val="Heading3"/>
      </w:pPr>
      <w:bookmarkStart w:id="28" w:name="_Toc381107752"/>
      <w:r w:rsidRPr="005752D4">
        <w:t>Health and safety</w:t>
      </w:r>
      <w:bookmarkEnd w:id="28"/>
    </w:p>
    <w:p w14:paraId="3FDCBCAF" w14:textId="7659AF9A" w:rsidR="005E2C7F" w:rsidRDefault="00220A7E" w:rsidP="009E7666">
      <w:pPr>
        <w:pStyle w:val="ListNumber"/>
        <w:numPr>
          <w:ilvl w:val="0"/>
          <w:numId w:val="13"/>
        </w:numPr>
        <w:tabs>
          <w:tab w:val="clear" w:pos="720"/>
          <w:tab w:val="left" w:pos="851"/>
        </w:tabs>
        <w:ind w:left="567" w:hanging="567"/>
      </w:pPr>
      <w:r>
        <w:t>Participant Managers</w:t>
      </w:r>
      <w:r w:rsidR="005E2C7F" w:rsidRPr="005752D4">
        <w:t xml:space="preserve"> have ge</w:t>
      </w:r>
      <w:r w:rsidR="004A34DC">
        <w:t>neral duty of care for the well</w:t>
      </w:r>
      <w:r w:rsidR="005E2C7F" w:rsidRPr="005752D4">
        <w:t xml:space="preserve">being of participants undertaking </w:t>
      </w:r>
      <w:r w:rsidR="00D97B20">
        <w:t>Work Experience Opportunities</w:t>
      </w:r>
      <w:r w:rsidR="005E2C7F" w:rsidRPr="005752D4">
        <w:t>. Under the Health and Safety at Work Act 1974 the same duty of care applies to a work experience participant as would apply to any other visitor.</w:t>
      </w:r>
    </w:p>
    <w:p w14:paraId="1DC8ACEF" w14:textId="77777777" w:rsidR="00545CF2" w:rsidRPr="005752D4" w:rsidRDefault="00545CF2" w:rsidP="00545CF2">
      <w:pPr>
        <w:pStyle w:val="Heading3"/>
      </w:pPr>
      <w:bookmarkStart w:id="29" w:name="_Toc381107744"/>
      <w:r w:rsidRPr="005752D4">
        <w:t>Confidentiality</w:t>
      </w:r>
      <w:bookmarkEnd w:id="29"/>
    </w:p>
    <w:p w14:paraId="369F0206" w14:textId="60078DF8" w:rsidR="00545CF2" w:rsidRDefault="00A807D3" w:rsidP="00545CF2">
      <w:pPr>
        <w:pStyle w:val="ListNumber"/>
        <w:numPr>
          <w:ilvl w:val="0"/>
          <w:numId w:val="13"/>
        </w:numPr>
        <w:tabs>
          <w:tab w:val="clear" w:pos="720"/>
          <w:tab w:val="left" w:pos="567"/>
        </w:tabs>
        <w:ind w:left="567" w:hanging="567"/>
      </w:pPr>
      <w:r>
        <w:t>On their first day, participants must</w:t>
      </w:r>
      <w:r w:rsidR="00545CF2" w:rsidRPr="005752D4">
        <w:t xml:space="preserve"> be issued with the Confidentiality Statement and asked to complete and return it. The Statement highlights participants’ responsibilities in relation to confidentiality and potential consequences of a breach. The Statement also outlines what the participant should do if they are asked to release information.</w:t>
      </w:r>
      <w:r w:rsidR="00545CF2">
        <w:t xml:space="preserve"> </w:t>
      </w:r>
      <w:r w:rsidR="00D96C77">
        <w:t xml:space="preserve">The confidentiality document can be found on the Intranet or provided by the </w:t>
      </w:r>
      <w:proofErr w:type="spellStart"/>
      <w:r w:rsidR="00D96C77">
        <w:t>MtW</w:t>
      </w:r>
      <w:proofErr w:type="spellEnd"/>
      <w:r w:rsidR="00D96C77">
        <w:t xml:space="preserve"> Central Team.</w:t>
      </w:r>
    </w:p>
    <w:p w14:paraId="0D1D78AC" w14:textId="0305CE1C" w:rsidR="00545CF2" w:rsidRPr="005752D4" w:rsidRDefault="00220A7E" w:rsidP="00545CF2">
      <w:pPr>
        <w:pStyle w:val="ListNumber"/>
        <w:numPr>
          <w:ilvl w:val="0"/>
          <w:numId w:val="13"/>
        </w:numPr>
        <w:tabs>
          <w:tab w:val="clear" w:pos="720"/>
          <w:tab w:val="left" w:pos="567"/>
        </w:tabs>
        <w:ind w:left="567" w:hanging="567"/>
      </w:pPr>
      <w:r>
        <w:t>Participant Managers</w:t>
      </w:r>
      <w:r w:rsidR="00545CF2" w:rsidRPr="005752D4">
        <w:t xml:space="preserve"> should ensure that </w:t>
      </w:r>
      <w:r w:rsidR="00545CF2">
        <w:t>participant</w:t>
      </w:r>
      <w:r w:rsidR="00545CF2" w:rsidRPr="005752D4">
        <w:t>s are not exposed to informa</w:t>
      </w:r>
      <w:r w:rsidR="00545CF2">
        <w:t>tion of a sensitive or security-</w:t>
      </w:r>
      <w:r w:rsidR="00545CF2" w:rsidRPr="005752D4">
        <w:t>related nature. Any documents that they can access, including those available on the intranet, must not be removed from the workplace or discussed with third parties. Although participants are not bound by the Official Secrets Act, they should be reminded of their obligation to treat all information as confidential and not to discuss it outside work.</w:t>
      </w:r>
    </w:p>
    <w:p w14:paraId="3FDCBCB0" w14:textId="77777777" w:rsidR="005E2C7F" w:rsidRPr="005752D4" w:rsidRDefault="005E2C7F" w:rsidP="005E2C7F">
      <w:pPr>
        <w:pStyle w:val="Heading3"/>
      </w:pPr>
      <w:bookmarkStart w:id="30" w:name="_Toc381107753"/>
      <w:r w:rsidRPr="005752D4">
        <w:t>Pastoral care</w:t>
      </w:r>
      <w:bookmarkEnd w:id="30"/>
    </w:p>
    <w:p w14:paraId="3FDCBCB1" w14:textId="00C72FD0" w:rsidR="005E2C7F" w:rsidRPr="005752D4" w:rsidRDefault="005E2C7F" w:rsidP="009E7666">
      <w:pPr>
        <w:pStyle w:val="ListNumber"/>
        <w:numPr>
          <w:ilvl w:val="0"/>
          <w:numId w:val="13"/>
        </w:numPr>
        <w:tabs>
          <w:tab w:val="clear" w:pos="720"/>
          <w:tab w:val="left" w:pos="851"/>
        </w:tabs>
        <w:ind w:left="567" w:hanging="567"/>
      </w:pPr>
      <w:r w:rsidRPr="005752D4">
        <w:t xml:space="preserve">For some participants, the </w:t>
      </w:r>
      <w:r w:rsidR="002C0AD9">
        <w:t>Work Experience Opportunity</w:t>
      </w:r>
      <w:r w:rsidRPr="005752D4">
        <w:t xml:space="preserve"> may be their first experience in a working environment and they may be unaware of certain </w:t>
      </w:r>
      <w:r w:rsidR="00735B07">
        <w:t>standards</w:t>
      </w:r>
      <w:r w:rsidR="00D261EB" w:rsidRPr="005752D4">
        <w:t xml:space="preserve"> which</w:t>
      </w:r>
      <w:r w:rsidRPr="005752D4">
        <w:t xml:space="preserve"> are expected in the workplace.</w:t>
      </w:r>
    </w:p>
    <w:p w14:paraId="3FDCBCB2" w14:textId="77777777" w:rsidR="005E2C7F" w:rsidRDefault="005E2C7F" w:rsidP="009E7666">
      <w:pPr>
        <w:pStyle w:val="ListNumber"/>
        <w:numPr>
          <w:ilvl w:val="0"/>
          <w:numId w:val="13"/>
        </w:numPr>
        <w:tabs>
          <w:tab w:val="clear" w:pos="720"/>
          <w:tab w:val="left" w:pos="851"/>
        </w:tabs>
        <w:ind w:left="567" w:hanging="567"/>
      </w:pPr>
      <w:r w:rsidRPr="005752D4">
        <w:t>It is important to pick up issues at an early stage, discuss them with participants and provide any necessary support. For example, use of personal mobile phones and the internet during working hours and expected standards of timekeeping.</w:t>
      </w:r>
    </w:p>
    <w:p w14:paraId="0AAE2710" w14:textId="33276799" w:rsidR="00CD0EBA" w:rsidRPr="00CD0EBA" w:rsidRDefault="00CD0EBA" w:rsidP="009E7666">
      <w:pPr>
        <w:pStyle w:val="ListParagraph"/>
        <w:numPr>
          <w:ilvl w:val="0"/>
          <w:numId w:val="13"/>
        </w:numPr>
        <w:spacing w:line="280" w:lineRule="exact"/>
        <w:ind w:left="567" w:hanging="567"/>
        <w:rPr>
          <w:rFonts w:cs="Arial"/>
          <w:b/>
        </w:rPr>
      </w:pPr>
      <w:r w:rsidRPr="00CD0EBA">
        <w:rPr>
          <w:rFonts w:cs="Arial"/>
        </w:rPr>
        <w:t>The participant is expected to follow the usual dress stand</w:t>
      </w:r>
      <w:r w:rsidR="00D96C77">
        <w:rPr>
          <w:rFonts w:cs="Arial"/>
        </w:rPr>
        <w:t>ards that apply to employees in the</w:t>
      </w:r>
      <w:r w:rsidRPr="00CD0EBA">
        <w:rPr>
          <w:rFonts w:cs="Arial"/>
        </w:rPr>
        <w:t xml:space="preserve"> work</w:t>
      </w:r>
      <w:r w:rsidR="008A08AB">
        <w:rPr>
          <w:rFonts w:cs="Arial"/>
        </w:rPr>
        <w:t>place</w:t>
      </w:r>
      <w:r w:rsidRPr="00CD0EBA">
        <w:rPr>
          <w:rFonts w:cs="Arial"/>
        </w:rPr>
        <w:t xml:space="preserve">. </w:t>
      </w:r>
      <w:r w:rsidR="00220A7E">
        <w:rPr>
          <w:rFonts w:cs="Arial"/>
        </w:rPr>
        <w:t>Participant Managers</w:t>
      </w:r>
      <w:r w:rsidRPr="00CD0EBA">
        <w:rPr>
          <w:rFonts w:cs="Arial"/>
        </w:rPr>
        <w:t xml:space="preserve"> should ensure that they are aware of this before starting their </w:t>
      </w:r>
      <w:r w:rsidR="002C0AD9">
        <w:rPr>
          <w:rFonts w:cs="Arial"/>
        </w:rPr>
        <w:t>Work Experience Opportunity</w:t>
      </w:r>
      <w:r w:rsidRPr="00CD0EBA">
        <w:rPr>
          <w:rFonts w:cs="Arial"/>
        </w:rPr>
        <w:t xml:space="preserve"> or during their induction. If the</w:t>
      </w:r>
      <w:r w:rsidR="00A612F5">
        <w:rPr>
          <w:rFonts w:cs="Arial"/>
        </w:rPr>
        <w:t xml:space="preserve"> participant is in receipt of benefits and they</w:t>
      </w:r>
      <w:r w:rsidRPr="00CD0EBA">
        <w:rPr>
          <w:rFonts w:cs="Arial"/>
        </w:rPr>
        <w:t xml:space="preserve"> are unable to adhere to the dress code, they should contact their Jobcentre </w:t>
      </w:r>
      <w:proofErr w:type="gramStart"/>
      <w:r w:rsidRPr="00CD0EBA">
        <w:rPr>
          <w:rFonts w:cs="Arial"/>
        </w:rPr>
        <w:t>Plus</w:t>
      </w:r>
      <w:proofErr w:type="gramEnd"/>
      <w:r w:rsidRPr="00CD0EBA">
        <w:rPr>
          <w:rFonts w:cs="Arial"/>
        </w:rPr>
        <w:t xml:space="preserve"> Work Coach</w:t>
      </w:r>
      <w:r w:rsidR="0014294A">
        <w:rPr>
          <w:rFonts w:cs="Arial"/>
        </w:rPr>
        <w:t>.</w:t>
      </w:r>
    </w:p>
    <w:p w14:paraId="3FDCBCB3" w14:textId="08378996" w:rsidR="005E2C7F" w:rsidRDefault="005E2C7F" w:rsidP="009E7666">
      <w:pPr>
        <w:pStyle w:val="ListNumber"/>
        <w:numPr>
          <w:ilvl w:val="0"/>
          <w:numId w:val="13"/>
        </w:numPr>
        <w:tabs>
          <w:tab w:val="clear" w:pos="720"/>
          <w:tab w:val="left" w:pos="851"/>
        </w:tabs>
        <w:ind w:left="567" w:hanging="567"/>
      </w:pPr>
      <w:r w:rsidRPr="005752D4">
        <w:t>Managers or budd</w:t>
      </w:r>
      <w:r w:rsidR="00157171">
        <w:t>ies</w:t>
      </w:r>
      <w:r w:rsidRPr="005752D4">
        <w:t xml:space="preserve"> can provide this support throughout the </w:t>
      </w:r>
      <w:r w:rsidR="002C0AD9">
        <w:t>Work Experience Opportunity</w:t>
      </w:r>
      <w:r w:rsidRPr="005752D4">
        <w:t xml:space="preserve"> to help participants develop the skills and knowledge needed in the workplace. </w:t>
      </w:r>
    </w:p>
    <w:p w14:paraId="2ED2A810" w14:textId="77777777" w:rsidR="006E1578" w:rsidRPr="005752D4" w:rsidRDefault="006E1578" w:rsidP="006E1578">
      <w:pPr>
        <w:pStyle w:val="Heading3"/>
      </w:pPr>
      <w:bookmarkStart w:id="31" w:name="_Toc381107755"/>
      <w:r w:rsidRPr="005752D4">
        <w:t>Support for participants</w:t>
      </w:r>
      <w:bookmarkEnd w:id="31"/>
    </w:p>
    <w:p w14:paraId="62864926" w14:textId="17A1761D" w:rsidR="006E1578" w:rsidRPr="005752D4" w:rsidRDefault="006E1578" w:rsidP="006E1578">
      <w:pPr>
        <w:pStyle w:val="ListNumber"/>
        <w:numPr>
          <w:ilvl w:val="0"/>
          <w:numId w:val="13"/>
        </w:numPr>
        <w:tabs>
          <w:tab w:val="clear" w:pos="720"/>
          <w:tab w:val="left" w:pos="567"/>
        </w:tabs>
        <w:ind w:hanging="502"/>
      </w:pPr>
      <w:r w:rsidRPr="005752D4">
        <w:lastRenderedPageBreak/>
        <w:t xml:space="preserve">During </w:t>
      </w:r>
      <w:r w:rsidR="00D97B20">
        <w:t>Work Experience Opportunities</w:t>
      </w:r>
      <w:r w:rsidRPr="005752D4">
        <w:t>, support should be provided by:</w:t>
      </w:r>
    </w:p>
    <w:p w14:paraId="54B120C1" w14:textId="77777777" w:rsidR="006E1578" w:rsidRPr="005752D4" w:rsidRDefault="006E1578" w:rsidP="00201BE9">
      <w:pPr>
        <w:pStyle w:val="ListBullet2"/>
        <w:numPr>
          <w:ilvl w:val="0"/>
          <w:numId w:val="25"/>
        </w:numPr>
        <w:ind w:left="1134" w:hanging="284"/>
      </w:pPr>
      <w:r w:rsidRPr="005752D4">
        <w:t>agreeing realistic aims and objectives by discussing with participants what they hope to achieve from their time in the workplace</w:t>
      </w:r>
    </w:p>
    <w:p w14:paraId="2A425FCF" w14:textId="77777777" w:rsidR="006E1578" w:rsidRPr="005752D4" w:rsidRDefault="006E1578" w:rsidP="00201BE9">
      <w:pPr>
        <w:pStyle w:val="ListBullet2"/>
        <w:numPr>
          <w:ilvl w:val="0"/>
          <w:numId w:val="25"/>
        </w:numPr>
        <w:ind w:left="1134" w:hanging="284"/>
      </w:pPr>
      <w:r w:rsidRPr="005752D4">
        <w:t>encouraging participants to take advantage of opportunities to enhance their skills and knowledge, for example by shadowing employees in different work areas</w:t>
      </w:r>
    </w:p>
    <w:p w14:paraId="4F625DEB" w14:textId="77777777" w:rsidR="006E1578" w:rsidRPr="005752D4" w:rsidRDefault="006E1578" w:rsidP="00201BE9">
      <w:pPr>
        <w:pStyle w:val="ListBullet2"/>
        <w:numPr>
          <w:ilvl w:val="0"/>
          <w:numId w:val="25"/>
        </w:numPr>
        <w:ind w:left="1134" w:hanging="284"/>
      </w:pPr>
      <w:r w:rsidRPr="005752D4">
        <w:t>encouraging participants to keep a record of work activities in their Workbook as this can assist when developing a revised CV or completing job applications</w:t>
      </w:r>
    </w:p>
    <w:p w14:paraId="0BB9D26C" w14:textId="77777777" w:rsidR="006E1578" w:rsidRPr="005752D4" w:rsidRDefault="006E1578" w:rsidP="00201BE9">
      <w:pPr>
        <w:pStyle w:val="ListBullet2"/>
        <w:numPr>
          <w:ilvl w:val="0"/>
          <w:numId w:val="25"/>
        </w:numPr>
        <w:ind w:left="1134" w:hanging="284"/>
      </w:pPr>
      <w:proofErr w:type="gramStart"/>
      <w:r w:rsidRPr="005752D4">
        <w:t>allowing</w:t>
      </w:r>
      <w:proofErr w:type="gramEnd"/>
      <w:r w:rsidRPr="005752D4">
        <w:t xml:space="preserve"> participants to attend interviews or appointments.</w:t>
      </w:r>
    </w:p>
    <w:p w14:paraId="72CA28BC" w14:textId="1C3AC04F" w:rsidR="006E1578" w:rsidRDefault="00220A7E" w:rsidP="006E1578">
      <w:pPr>
        <w:pStyle w:val="ListNumber"/>
        <w:numPr>
          <w:ilvl w:val="0"/>
          <w:numId w:val="13"/>
        </w:numPr>
        <w:tabs>
          <w:tab w:val="clear" w:pos="720"/>
          <w:tab w:val="left" w:pos="851"/>
        </w:tabs>
        <w:ind w:left="567" w:hanging="567"/>
      </w:pPr>
      <w:r>
        <w:t>Participant Managers</w:t>
      </w:r>
      <w:r w:rsidR="006E1578" w:rsidRPr="005752D4">
        <w:t xml:space="preserve"> should schedule one-to-one meetings with participants to discuss progress and ensure they are receiving all the information, advice and guidance needed. </w:t>
      </w:r>
      <w:r>
        <w:t>Participant Managers</w:t>
      </w:r>
      <w:r w:rsidR="006E1578" w:rsidRPr="005752D4">
        <w:t xml:space="preserve"> should also request feedback on tasks and activities participants have been involved in and, if applicable, the value of the support provided by their buddy.</w:t>
      </w:r>
    </w:p>
    <w:p w14:paraId="3FDCBCB4" w14:textId="7C7911F7" w:rsidR="005E2C7F" w:rsidRPr="005752D4" w:rsidRDefault="005E2C7F" w:rsidP="005E2C7F">
      <w:pPr>
        <w:pStyle w:val="Heading3"/>
      </w:pPr>
      <w:bookmarkStart w:id="32" w:name="_Toc381107754"/>
      <w:r w:rsidRPr="005752D4">
        <w:t>Buddy</w:t>
      </w:r>
      <w:bookmarkEnd w:id="32"/>
      <w:r w:rsidR="00C75447">
        <w:t>ing</w:t>
      </w:r>
    </w:p>
    <w:p w14:paraId="3FDCBCB5" w14:textId="77777777" w:rsidR="005E2C7F" w:rsidRPr="005752D4" w:rsidRDefault="005E2C7F" w:rsidP="009E7666">
      <w:pPr>
        <w:pStyle w:val="ListNumber"/>
        <w:numPr>
          <w:ilvl w:val="0"/>
          <w:numId w:val="13"/>
        </w:numPr>
        <w:tabs>
          <w:tab w:val="clear" w:pos="720"/>
          <w:tab w:val="left" w:pos="851"/>
        </w:tabs>
        <w:ind w:left="567" w:hanging="567"/>
      </w:pPr>
      <w:r w:rsidRPr="005752D4">
        <w:t>It is good practice, but not essential, to provide a buddy for participants. A buddy can enhance the overall experience for participants by providing additional support and coaching. This also offers employees an opportunity to develop their coaching skills.</w:t>
      </w:r>
    </w:p>
    <w:p w14:paraId="3FDCBCB6" w14:textId="5CC28A9B" w:rsidR="005E2C7F" w:rsidRPr="005752D4" w:rsidRDefault="005E2C7F" w:rsidP="009E7666">
      <w:pPr>
        <w:pStyle w:val="ListNumber"/>
        <w:numPr>
          <w:ilvl w:val="0"/>
          <w:numId w:val="13"/>
        </w:numPr>
        <w:tabs>
          <w:tab w:val="clear" w:pos="720"/>
          <w:tab w:val="left" w:pos="851"/>
        </w:tabs>
        <w:ind w:left="567" w:hanging="567"/>
      </w:pPr>
      <w:r w:rsidRPr="005752D4">
        <w:t xml:space="preserve">Ideally, a buddy will be a volunteer who is also a member of the team in which the participant is placed. However, if participants move around during their </w:t>
      </w:r>
      <w:r w:rsidR="002C0AD9">
        <w:t>Work Experience Opportunity</w:t>
      </w:r>
      <w:r w:rsidRPr="005752D4">
        <w:t>, their buddy may change.</w:t>
      </w:r>
    </w:p>
    <w:p w14:paraId="3FDCBCB7" w14:textId="3F3E8506" w:rsidR="005E2C7F" w:rsidRDefault="005E2C7F" w:rsidP="009E7666">
      <w:pPr>
        <w:pStyle w:val="ListNumber"/>
        <w:numPr>
          <w:ilvl w:val="0"/>
          <w:numId w:val="13"/>
        </w:numPr>
        <w:tabs>
          <w:tab w:val="clear" w:pos="720"/>
          <w:tab w:val="left" w:pos="851"/>
        </w:tabs>
        <w:ind w:left="567" w:hanging="567"/>
      </w:pPr>
      <w:r w:rsidRPr="005752D4">
        <w:t xml:space="preserve">Prior to the start of the </w:t>
      </w:r>
      <w:r w:rsidR="002C0AD9">
        <w:t>Work Experience Opportunity</w:t>
      </w:r>
      <w:r w:rsidRPr="005752D4">
        <w:t>, the buddy should ensure they have agreed with their line manager that they can undertake this role and are clear about their responsibilities.</w:t>
      </w:r>
      <w:r w:rsidR="00157171">
        <w:t xml:space="preserve"> </w:t>
      </w:r>
    </w:p>
    <w:p w14:paraId="1F3D8A5B" w14:textId="30398B04" w:rsidR="001734CE" w:rsidRDefault="001734CE" w:rsidP="009E7666">
      <w:pPr>
        <w:pStyle w:val="ListNumber"/>
        <w:numPr>
          <w:ilvl w:val="0"/>
          <w:numId w:val="13"/>
        </w:numPr>
        <w:tabs>
          <w:tab w:val="clear" w:pos="720"/>
          <w:tab w:val="left" w:pos="851"/>
        </w:tabs>
        <w:ind w:left="567" w:hanging="567"/>
      </w:pPr>
      <w:r>
        <w:t>A buddy’s responsibilities may include:</w:t>
      </w:r>
    </w:p>
    <w:p w14:paraId="66433733" w14:textId="72A58B01" w:rsidR="001734CE" w:rsidRDefault="001734CE" w:rsidP="00C610FF">
      <w:pPr>
        <w:pStyle w:val="ListNumber"/>
        <w:numPr>
          <w:ilvl w:val="0"/>
          <w:numId w:val="17"/>
        </w:numPr>
        <w:tabs>
          <w:tab w:val="clear" w:pos="720"/>
          <w:tab w:val="left" w:pos="851"/>
        </w:tabs>
        <w:ind w:left="1134" w:hanging="283"/>
      </w:pPr>
      <w:r>
        <w:t>welcoming the participant and showing them around the office and local area</w:t>
      </w:r>
    </w:p>
    <w:p w14:paraId="173135FC" w14:textId="213C5422" w:rsidR="001734CE" w:rsidRDefault="001734CE" w:rsidP="00C610FF">
      <w:pPr>
        <w:pStyle w:val="ListNumber"/>
        <w:numPr>
          <w:ilvl w:val="0"/>
          <w:numId w:val="17"/>
        </w:numPr>
        <w:tabs>
          <w:tab w:val="clear" w:pos="720"/>
          <w:tab w:val="left" w:pos="851"/>
        </w:tabs>
        <w:ind w:left="1134" w:hanging="283"/>
      </w:pPr>
      <w:r>
        <w:t>introducing the participant to relevant colleagues</w:t>
      </w:r>
    </w:p>
    <w:p w14:paraId="64F929AA" w14:textId="6F778ADF" w:rsidR="001734CE" w:rsidRDefault="001734CE" w:rsidP="00C610FF">
      <w:pPr>
        <w:pStyle w:val="ListNumber"/>
        <w:numPr>
          <w:ilvl w:val="0"/>
          <w:numId w:val="17"/>
        </w:numPr>
        <w:tabs>
          <w:tab w:val="clear" w:pos="720"/>
          <w:tab w:val="left" w:pos="851"/>
        </w:tabs>
        <w:ind w:left="1134" w:hanging="283"/>
      </w:pPr>
      <w:r>
        <w:t>explaining what support they can offer the participant</w:t>
      </w:r>
    </w:p>
    <w:p w14:paraId="2047E288" w14:textId="4BCFE15E" w:rsidR="001734CE" w:rsidRPr="005752D4" w:rsidRDefault="001734CE" w:rsidP="00C610FF">
      <w:pPr>
        <w:pStyle w:val="ListNumber"/>
        <w:numPr>
          <w:ilvl w:val="0"/>
          <w:numId w:val="17"/>
        </w:numPr>
        <w:tabs>
          <w:tab w:val="clear" w:pos="720"/>
          <w:tab w:val="left" w:pos="851"/>
        </w:tabs>
        <w:ind w:left="1134" w:hanging="283"/>
      </w:pPr>
      <w:proofErr w:type="gramStart"/>
      <w:r>
        <w:t>making</w:t>
      </w:r>
      <w:proofErr w:type="gramEnd"/>
      <w:r>
        <w:t xml:space="preserve"> themselves available to answer the participant’s questions.</w:t>
      </w:r>
    </w:p>
    <w:p w14:paraId="3FDCBCC1" w14:textId="77777777" w:rsidR="005E2C7F" w:rsidRPr="005752D4" w:rsidRDefault="005E2C7F" w:rsidP="005E2C7F">
      <w:pPr>
        <w:pStyle w:val="Heading3"/>
      </w:pPr>
      <w:bookmarkStart w:id="33" w:name="_Toc381107756"/>
      <w:r w:rsidRPr="005752D4">
        <w:t>Learning opportunities</w:t>
      </w:r>
      <w:bookmarkEnd w:id="33"/>
    </w:p>
    <w:p w14:paraId="2AE05A58" w14:textId="6C25D3AA" w:rsidR="00B94C64" w:rsidRDefault="00B94C64" w:rsidP="009E7666">
      <w:pPr>
        <w:pStyle w:val="ListNumber"/>
        <w:numPr>
          <w:ilvl w:val="0"/>
          <w:numId w:val="13"/>
        </w:numPr>
        <w:tabs>
          <w:tab w:val="clear" w:pos="720"/>
          <w:tab w:val="left" w:pos="709"/>
        </w:tabs>
        <w:ind w:left="567" w:hanging="567"/>
      </w:pPr>
      <w:r>
        <w:lastRenderedPageBreak/>
        <w:t>Participants are required to complete the Movement to Work Curriculum, which includes all departmental mandatory training, as well as modules within the Skills to Succeed Academy. More information is provided within the Participant Manager’s Toolkit.</w:t>
      </w:r>
    </w:p>
    <w:p w14:paraId="3FDCBCC2" w14:textId="627FA4D4" w:rsidR="005E2C7F" w:rsidRPr="005752D4" w:rsidRDefault="005E2C7F" w:rsidP="009E7666">
      <w:pPr>
        <w:pStyle w:val="ListNumber"/>
        <w:numPr>
          <w:ilvl w:val="0"/>
          <w:numId w:val="13"/>
        </w:numPr>
        <w:tabs>
          <w:tab w:val="clear" w:pos="720"/>
          <w:tab w:val="left" w:pos="709"/>
        </w:tabs>
        <w:ind w:left="567" w:hanging="567"/>
      </w:pPr>
      <w:r w:rsidRPr="005752D4">
        <w:t xml:space="preserve">The Civil Service Learning website provides a range of learning guides and other resources which can be used to support participants. </w:t>
      </w:r>
      <w:r w:rsidR="00220A7E">
        <w:t>Participant Managers</w:t>
      </w:r>
      <w:r w:rsidRPr="005752D4">
        <w:t xml:space="preserve"> should work with </w:t>
      </w:r>
      <w:r w:rsidR="00821FF2">
        <w:t xml:space="preserve">all </w:t>
      </w:r>
      <w:r w:rsidRPr="005752D4">
        <w:t xml:space="preserve">participants to identify and select </w:t>
      </w:r>
      <w:r w:rsidR="00B97207" w:rsidRPr="005752D4">
        <w:t>those that</w:t>
      </w:r>
      <w:r w:rsidRPr="005752D4">
        <w:t xml:space="preserve"> are most appropriate to their needs.</w:t>
      </w:r>
    </w:p>
    <w:p w14:paraId="3FDCBCC7" w14:textId="6BD501F6" w:rsidR="005E2C7F" w:rsidRPr="005752D4" w:rsidRDefault="005E2C7F" w:rsidP="009E7666">
      <w:pPr>
        <w:pStyle w:val="ListNumber"/>
        <w:numPr>
          <w:ilvl w:val="0"/>
          <w:numId w:val="13"/>
        </w:numPr>
        <w:tabs>
          <w:tab w:val="clear" w:pos="720"/>
          <w:tab w:val="left" w:pos="709"/>
        </w:tabs>
        <w:ind w:left="567" w:hanging="567"/>
      </w:pPr>
      <w:r w:rsidRPr="005752D4">
        <w:t>To access CS</w:t>
      </w:r>
      <w:r w:rsidR="00887E35">
        <w:t xml:space="preserve"> </w:t>
      </w:r>
      <w:r w:rsidRPr="005752D4">
        <w:t>L</w:t>
      </w:r>
      <w:r w:rsidR="00887E35">
        <w:t>earning</w:t>
      </w:r>
      <w:r w:rsidRPr="005752D4">
        <w:t xml:space="preserve"> opportunities, participants</w:t>
      </w:r>
      <w:r w:rsidR="00CD0EBA">
        <w:t xml:space="preserve"> </w:t>
      </w:r>
      <w:r w:rsidRPr="005752D4">
        <w:t xml:space="preserve">will need to register on the CS Learning website using an email address from a </w:t>
      </w:r>
      <w:r w:rsidR="00887E35">
        <w:t>g</w:t>
      </w:r>
      <w:r w:rsidRPr="005752D4">
        <w:t>overnment department, agency or registered NDPB.</w:t>
      </w:r>
    </w:p>
    <w:p w14:paraId="3FDCBCC8" w14:textId="0850CB2A" w:rsidR="005E2C7F" w:rsidRDefault="005E2C7F" w:rsidP="009E7666">
      <w:pPr>
        <w:pStyle w:val="ListNumber"/>
        <w:numPr>
          <w:ilvl w:val="0"/>
          <w:numId w:val="13"/>
        </w:numPr>
        <w:tabs>
          <w:tab w:val="clear" w:pos="720"/>
          <w:tab w:val="left" w:pos="709"/>
        </w:tabs>
        <w:ind w:left="567" w:hanging="567"/>
      </w:pPr>
      <w:r w:rsidRPr="005752D4">
        <w:t xml:space="preserve">If the participant does not have email access, </w:t>
      </w:r>
      <w:r w:rsidR="00220A7E">
        <w:t>Participant Managers</w:t>
      </w:r>
      <w:r w:rsidRPr="005752D4">
        <w:t xml:space="preserve"> should consider printing off the relevant materials on their behalf.</w:t>
      </w:r>
      <w:r w:rsidR="00821FF2">
        <w:t xml:space="preserve"> </w:t>
      </w:r>
    </w:p>
    <w:p w14:paraId="14993234" w14:textId="617E80F2" w:rsidR="00821FF2" w:rsidRDefault="00933B1B" w:rsidP="009E7666">
      <w:pPr>
        <w:pStyle w:val="ListNumber"/>
        <w:numPr>
          <w:ilvl w:val="0"/>
          <w:numId w:val="13"/>
        </w:numPr>
        <w:tabs>
          <w:tab w:val="clear" w:pos="720"/>
          <w:tab w:val="left" w:pos="709"/>
        </w:tabs>
        <w:ind w:left="567" w:hanging="567"/>
      </w:pPr>
      <w:r>
        <w:rPr>
          <w:lang w:val="en"/>
        </w:rPr>
        <w:t>A generic CS</w:t>
      </w:r>
      <w:r w:rsidR="00887E35">
        <w:rPr>
          <w:lang w:val="en"/>
        </w:rPr>
        <w:t xml:space="preserve"> </w:t>
      </w:r>
      <w:r>
        <w:rPr>
          <w:lang w:val="en"/>
        </w:rPr>
        <w:t>L</w:t>
      </w:r>
      <w:r w:rsidR="00887E35">
        <w:rPr>
          <w:lang w:val="en"/>
        </w:rPr>
        <w:t>earning</w:t>
      </w:r>
      <w:r w:rsidR="00616EDB">
        <w:rPr>
          <w:lang w:val="en"/>
        </w:rPr>
        <w:t xml:space="preserve"> logi</w:t>
      </w:r>
      <w:r>
        <w:rPr>
          <w:lang w:val="en"/>
        </w:rPr>
        <w:t>n is availab</w:t>
      </w:r>
      <w:r w:rsidR="00BC4ACF">
        <w:rPr>
          <w:lang w:val="en"/>
        </w:rPr>
        <w:t xml:space="preserve">le for </w:t>
      </w:r>
      <w:proofErr w:type="spellStart"/>
      <w:r w:rsidR="00BC4ACF">
        <w:rPr>
          <w:lang w:val="en"/>
        </w:rPr>
        <w:t>MtW</w:t>
      </w:r>
      <w:proofErr w:type="spellEnd"/>
      <w:r w:rsidR="00BC4ACF">
        <w:rPr>
          <w:lang w:val="en"/>
        </w:rPr>
        <w:t xml:space="preserve"> participants from</w:t>
      </w:r>
      <w:r w:rsidR="00821FF2" w:rsidRPr="006D0263">
        <w:t xml:space="preserve"> </w:t>
      </w:r>
      <w:r w:rsidR="00821FF2" w:rsidRPr="00821FF2">
        <w:rPr>
          <w:b/>
        </w:rPr>
        <w:t xml:space="preserve">[DN: the departmental </w:t>
      </w:r>
      <w:proofErr w:type="spellStart"/>
      <w:r w:rsidR="00821FF2" w:rsidRPr="00821FF2">
        <w:rPr>
          <w:b/>
        </w:rPr>
        <w:t>MtW</w:t>
      </w:r>
      <w:proofErr w:type="spellEnd"/>
      <w:r w:rsidR="00821FF2" w:rsidRPr="00821FF2">
        <w:rPr>
          <w:b/>
        </w:rPr>
        <w:t xml:space="preserve"> </w:t>
      </w:r>
      <w:proofErr w:type="spellStart"/>
      <w:r w:rsidR="00821FF2" w:rsidRPr="00821FF2">
        <w:rPr>
          <w:b/>
        </w:rPr>
        <w:t>SPoC</w:t>
      </w:r>
      <w:proofErr w:type="spellEnd"/>
      <w:r w:rsidR="00821FF2" w:rsidRPr="00821FF2">
        <w:rPr>
          <w:b/>
        </w:rPr>
        <w:t>]</w:t>
      </w:r>
      <w:r w:rsidR="00740E29">
        <w:t>,</w:t>
      </w:r>
      <w:r w:rsidR="00415C66">
        <w:t xml:space="preserve"> where they are not given an email address</w:t>
      </w:r>
      <w:r w:rsidR="00D5416F">
        <w:t xml:space="preserve">. </w:t>
      </w:r>
      <w:r w:rsidR="00D96C77">
        <w:t>Within the Participant Workbook, there is a list of relevant learning for the participant. Further learning can be suggested by the Participant Manager.</w:t>
      </w:r>
    </w:p>
    <w:p w14:paraId="3FDCBCC9" w14:textId="4D25B940" w:rsidR="005E2C7F" w:rsidRDefault="005E2C7F" w:rsidP="009E7666">
      <w:pPr>
        <w:pStyle w:val="ListNumber"/>
        <w:numPr>
          <w:ilvl w:val="0"/>
          <w:numId w:val="13"/>
        </w:numPr>
        <w:tabs>
          <w:tab w:val="clear" w:pos="720"/>
          <w:tab w:val="left" w:pos="851"/>
        </w:tabs>
        <w:ind w:left="567" w:hanging="567"/>
      </w:pPr>
      <w:r w:rsidRPr="007231DD">
        <w:t xml:space="preserve">Participants should also be encouraged to make use of the </w:t>
      </w:r>
      <w:hyperlink r:id="rId14" w:history="1">
        <w:r w:rsidRPr="008E18D1">
          <w:rPr>
            <w:rStyle w:val="Hyperlink"/>
          </w:rPr>
          <w:t>Skills to Succeed Academy</w:t>
        </w:r>
      </w:hyperlink>
      <w:r>
        <w:t>; an online</w:t>
      </w:r>
      <w:r w:rsidRPr="00C73FC5">
        <w:t xml:space="preserve"> </w:t>
      </w:r>
      <w:r w:rsidRPr="007231DD">
        <w:t xml:space="preserve">learning resource. </w:t>
      </w:r>
      <w:r w:rsidR="002A5B6A">
        <w:t xml:space="preserve">Time to complete this should be built into a Participant’s </w:t>
      </w:r>
      <w:r w:rsidR="002C0AD9">
        <w:t>Work Experience Opportunity</w:t>
      </w:r>
      <w:r w:rsidR="002A5B6A">
        <w:t xml:space="preserve">. </w:t>
      </w:r>
      <w:proofErr w:type="spellStart"/>
      <w:r w:rsidRPr="007231DD">
        <w:t>MtW</w:t>
      </w:r>
      <w:proofErr w:type="spellEnd"/>
      <w:r w:rsidRPr="007231DD">
        <w:t xml:space="preserve"> participants </w:t>
      </w:r>
      <w:r w:rsidR="002A5B6A">
        <w:t xml:space="preserve">will find their access code within their Participant Workbook. </w:t>
      </w:r>
    </w:p>
    <w:p w14:paraId="29CD8A2E" w14:textId="6C490C40" w:rsidR="00CD0EBA" w:rsidRPr="005752D4" w:rsidRDefault="005E2C7F" w:rsidP="009E7666">
      <w:pPr>
        <w:pStyle w:val="ListNumber"/>
        <w:numPr>
          <w:ilvl w:val="0"/>
          <w:numId w:val="13"/>
        </w:numPr>
        <w:tabs>
          <w:tab w:val="clear" w:pos="720"/>
          <w:tab w:val="left" w:pos="709"/>
        </w:tabs>
        <w:ind w:left="567" w:hanging="567"/>
      </w:pPr>
      <w:r w:rsidRPr="007231DD">
        <w:t xml:space="preserve">In order to consider their learning progress, </w:t>
      </w:r>
      <w:r w:rsidR="00220A7E">
        <w:t>Participant Managers</w:t>
      </w:r>
      <w:r w:rsidRPr="007231DD">
        <w:t xml:space="preserve"> </w:t>
      </w:r>
      <w:r>
        <w:t>should</w:t>
      </w:r>
      <w:r w:rsidRPr="007231DD">
        <w:t xml:space="preserve"> have ongoing discussions with participants during </w:t>
      </w:r>
      <w:r w:rsidR="00D97B20">
        <w:t>Work Experience Opportunities</w:t>
      </w:r>
      <w:r w:rsidRPr="007231DD">
        <w:t xml:space="preserve"> on how they are using </w:t>
      </w:r>
      <w:r>
        <w:t>the Academy</w:t>
      </w:r>
      <w:r w:rsidRPr="007231DD">
        <w:t>. </w:t>
      </w:r>
      <w:r>
        <w:t>If a participant cannot gain access to the training modules, they should contact their manager or Work Coach for advice.</w:t>
      </w:r>
      <w:r w:rsidR="00E4148F">
        <w:t xml:space="preserve"> </w:t>
      </w:r>
    </w:p>
    <w:p w14:paraId="3FDCBCCC" w14:textId="1370C890" w:rsidR="005E2C7F" w:rsidRPr="005752D4" w:rsidRDefault="005E2C7F" w:rsidP="005E2C7F">
      <w:pPr>
        <w:pStyle w:val="Heading3"/>
      </w:pPr>
      <w:bookmarkStart w:id="34" w:name="_Toc381107757"/>
      <w:r w:rsidRPr="005752D4">
        <w:t>Conduct</w:t>
      </w:r>
      <w:bookmarkEnd w:id="34"/>
    </w:p>
    <w:p w14:paraId="3FDCBCCD" w14:textId="6FEAFA32" w:rsidR="005E2C7F" w:rsidRPr="005752D4" w:rsidRDefault="005E2C7F" w:rsidP="009E7666">
      <w:pPr>
        <w:pStyle w:val="ListNumber"/>
        <w:numPr>
          <w:ilvl w:val="0"/>
          <w:numId w:val="13"/>
        </w:numPr>
        <w:tabs>
          <w:tab w:val="clear" w:pos="720"/>
          <w:tab w:val="left" w:pos="851"/>
        </w:tabs>
        <w:ind w:left="567" w:hanging="567"/>
      </w:pPr>
      <w:r w:rsidRPr="005752D4">
        <w:t xml:space="preserve">Participants are required to conduct themselves in an appropriate manner at all times when in the workplace. Their behaviour should be to the same standard as that of employees. </w:t>
      </w:r>
      <w:r w:rsidRPr="005752D4">
        <w:rPr>
          <w:b/>
        </w:rPr>
        <w:t>[</w:t>
      </w:r>
      <w:r w:rsidRPr="005752D4">
        <w:rPr>
          <w:rStyle w:val="NormalBoldChar"/>
        </w:rPr>
        <w:t xml:space="preserve">DN: Departments to reference local </w:t>
      </w:r>
      <w:r w:rsidR="00C75447">
        <w:rPr>
          <w:rStyle w:val="NormalBoldChar"/>
        </w:rPr>
        <w:t xml:space="preserve">conduct or behaviour </w:t>
      </w:r>
      <w:r w:rsidRPr="005752D4">
        <w:rPr>
          <w:rStyle w:val="NormalBoldChar"/>
        </w:rPr>
        <w:t>policy/statements.]</w:t>
      </w:r>
    </w:p>
    <w:p w14:paraId="3FDCBCCE" w14:textId="5D637D9A" w:rsidR="005E2C7F" w:rsidRPr="005752D4" w:rsidRDefault="005E2C7F" w:rsidP="009E7666">
      <w:pPr>
        <w:pStyle w:val="ListNumber"/>
        <w:numPr>
          <w:ilvl w:val="0"/>
          <w:numId w:val="13"/>
        </w:numPr>
        <w:tabs>
          <w:tab w:val="clear" w:pos="720"/>
          <w:tab w:val="left" w:pos="851"/>
        </w:tabs>
        <w:ind w:left="567" w:hanging="567"/>
      </w:pPr>
      <w:r w:rsidRPr="005752D4">
        <w:t xml:space="preserve">If any serious conduct issues arise, the </w:t>
      </w:r>
      <w:r w:rsidR="002C0AD9">
        <w:t>Work Experience Opportunity</w:t>
      </w:r>
      <w:r w:rsidRPr="005752D4">
        <w:t xml:space="preserve"> must be reviewed immediately and may need to end early. Such matters should be </w:t>
      </w:r>
      <w:r w:rsidR="00324BB7">
        <w:t>raised</w:t>
      </w:r>
      <w:r w:rsidRPr="005752D4">
        <w:rPr>
          <w:rStyle w:val="NormalBoldChar"/>
          <w:b w:val="0"/>
        </w:rPr>
        <w:t xml:space="preserve"> via: </w:t>
      </w:r>
      <w:hyperlink r:id="rId15" w:history="1">
        <w:r w:rsidR="001228AC" w:rsidRPr="00365ED6">
          <w:rPr>
            <w:rStyle w:val="Hyperlink"/>
          </w:rPr>
          <w:t>movementto.workschemeadmin1@dwp.gsi.gov.uk</w:t>
        </w:r>
      </w:hyperlink>
      <w:r w:rsidRPr="005752D4">
        <w:rPr>
          <w:rStyle w:val="NormalBoldChar"/>
          <w:b w:val="0"/>
        </w:rPr>
        <w:t>.</w:t>
      </w:r>
    </w:p>
    <w:p w14:paraId="3FDCBCCF" w14:textId="33BFBD37" w:rsidR="005E2C7F" w:rsidRPr="005752D4" w:rsidRDefault="005E2C7F" w:rsidP="009E7666">
      <w:pPr>
        <w:pStyle w:val="ListNumber"/>
        <w:numPr>
          <w:ilvl w:val="0"/>
          <w:numId w:val="13"/>
        </w:numPr>
        <w:tabs>
          <w:tab w:val="clear" w:pos="720"/>
          <w:tab w:val="left" w:pos="851"/>
        </w:tabs>
        <w:ind w:left="567" w:hanging="567"/>
      </w:pPr>
      <w:r w:rsidRPr="005752D4">
        <w:t xml:space="preserve">If a participant makes a complaint about an employee, </w:t>
      </w:r>
      <w:r w:rsidR="00220A7E">
        <w:t>Participant Managers</w:t>
      </w:r>
      <w:r w:rsidRPr="005752D4">
        <w:t xml:space="preserve"> should seek immediate </w:t>
      </w:r>
      <w:r w:rsidR="00C75447">
        <w:t>HR advice</w:t>
      </w:r>
      <w:r w:rsidRPr="005752D4">
        <w:t xml:space="preserve">. </w:t>
      </w:r>
      <w:r w:rsidRPr="005752D4">
        <w:rPr>
          <w:rStyle w:val="NormalBoldChar"/>
        </w:rPr>
        <w:t>[DN: Departments to insert details for HR.]</w:t>
      </w:r>
    </w:p>
    <w:p w14:paraId="3FDCBCD0" w14:textId="77777777" w:rsidR="005E2C7F" w:rsidRPr="005752D4" w:rsidRDefault="005E2C7F" w:rsidP="005E2C7F">
      <w:pPr>
        <w:pStyle w:val="Heading3"/>
      </w:pPr>
      <w:bookmarkStart w:id="35" w:name="_Toc381107758"/>
      <w:r w:rsidRPr="005752D4">
        <w:t>Attendance</w:t>
      </w:r>
      <w:bookmarkEnd w:id="35"/>
    </w:p>
    <w:p w14:paraId="6E4940B1" w14:textId="3CC5B448" w:rsidR="00821FF2" w:rsidRDefault="005E2C7F" w:rsidP="009E7666">
      <w:pPr>
        <w:pStyle w:val="ListParagraph"/>
        <w:numPr>
          <w:ilvl w:val="0"/>
          <w:numId w:val="13"/>
        </w:numPr>
        <w:tabs>
          <w:tab w:val="left" w:pos="709"/>
        </w:tabs>
        <w:spacing w:line="280" w:lineRule="exact"/>
        <w:ind w:left="567" w:hanging="567"/>
      </w:pPr>
      <w:r w:rsidRPr="005752D4">
        <w:t xml:space="preserve">If a participant </w:t>
      </w:r>
      <w:r w:rsidR="0041200E">
        <w:t>does not arrive for</w:t>
      </w:r>
      <w:r w:rsidRPr="005752D4">
        <w:t xml:space="preserve"> their first </w:t>
      </w:r>
      <w:r w:rsidR="007D22FF">
        <w:t>day</w:t>
      </w:r>
      <w:r w:rsidRPr="005752D4">
        <w:t>,</w:t>
      </w:r>
      <w:r w:rsidR="00821FF2" w:rsidRPr="00821FF2">
        <w:t xml:space="preserve"> </w:t>
      </w:r>
      <w:r w:rsidR="00821FF2" w:rsidRPr="004D25E7">
        <w:t xml:space="preserve">try to contact the participant to find out why they have not attended. If </w:t>
      </w:r>
      <w:r w:rsidR="00220A7E">
        <w:t>Participant Managers</w:t>
      </w:r>
      <w:r w:rsidR="00821FF2" w:rsidRPr="004D25E7">
        <w:t xml:space="preserve"> cannot make contact or the participant does </w:t>
      </w:r>
      <w:r w:rsidR="00821FF2" w:rsidRPr="004D25E7">
        <w:lastRenderedPageBreak/>
        <w:t xml:space="preserve">not intend to </w:t>
      </w:r>
      <w:r w:rsidR="00821FF2">
        <w:t>come in</w:t>
      </w:r>
      <w:r w:rsidR="00821FF2" w:rsidRPr="004D25E7">
        <w:t xml:space="preserve">, </w:t>
      </w:r>
      <w:r w:rsidR="00220A7E">
        <w:t>Participant Managers</w:t>
      </w:r>
      <w:r w:rsidR="00821FF2">
        <w:t xml:space="preserve"> should notify </w:t>
      </w:r>
      <w:r w:rsidR="00D96C77">
        <w:t>their</w:t>
      </w:r>
      <w:r w:rsidR="00821FF2">
        <w:t xml:space="preserve"> </w:t>
      </w:r>
      <w:proofErr w:type="spellStart"/>
      <w:r w:rsidR="00821FF2">
        <w:t>MtW</w:t>
      </w:r>
      <w:proofErr w:type="spellEnd"/>
      <w:r w:rsidR="00821FF2">
        <w:t xml:space="preserve"> </w:t>
      </w:r>
      <w:proofErr w:type="spellStart"/>
      <w:r w:rsidR="00821FF2">
        <w:t>SPoC</w:t>
      </w:r>
      <w:proofErr w:type="spellEnd"/>
      <w:r w:rsidR="00821FF2">
        <w:t xml:space="preserve"> </w:t>
      </w:r>
      <w:r w:rsidRPr="005752D4">
        <w:t xml:space="preserve">and they will make contact with the </w:t>
      </w:r>
      <w:r w:rsidR="0014294A">
        <w:t xml:space="preserve">DWP </w:t>
      </w:r>
      <w:proofErr w:type="spellStart"/>
      <w:r w:rsidR="000D44E8">
        <w:t>MtW</w:t>
      </w:r>
      <w:proofErr w:type="spellEnd"/>
      <w:r w:rsidR="000D44E8">
        <w:t xml:space="preserve"> central</w:t>
      </w:r>
      <w:r w:rsidR="00636FEE">
        <w:t xml:space="preserve"> team and the </w:t>
      </w:r>
      <w:r w:rsidRPr="005752D4">
        <w:t xml:space="preserve">appropriate Jobcentre </w:t>
      </w:r>
      <w:proofErr w:type="gramStart"/>
      <w:r w:rsidRPr="005752D4">
        <w:t>Plus</w:t>
      </w:r>
      <w:proofErr w:type="gramEnd"/>
      <w:r w:rsidRPr="005752D4">
        <w:t xml:space="preserve"> </w:t>
      </w:r>
      <w:r w:rsidR="0041200E">
        <w:t>Work Coach</w:t>
      </w:r>
      <w:r w:rsidR="0041200E" w:rsidRPr="005752D4">
        <w:t xml:space="preserve"> </w:t>
      </w:r>
      <w:r w:rsidRPr="005752D4">
        <w:t>for that participan</w:t>
      </w:r>
      <w:r w:rsidR="00821FF2">
        <w:t>t</w:t>
      </w:r>
      <w:r w:rsidR="008A08AB">
        <w:t>.</w:t>
      </w:r>
    </w:p>
    <w:p w14:paraId="30321B68" w14:textId="7BC89E47" w:rsidR="007D22FF" w:rsidRPr="005752D4" w:rsidRDefault="0053116B" w:rsidP="0053116B">
      <w:pPr>
        <w:pStyle w:val="ListBullet2"/>
      </w:pPr>
      <w:r>
        <w:t xml:space="preserve">If a participant stops attending their </w:t>
      </w:r>
      <w:r w:rsidR="002C0AD9">
        <w:t>Work Experience Opportunity</w:t>
      </w:r>
      <w:r>
        <w:t xml:space="preserve"> without warning and does not make contact to inform </w:t>
      </w:r>
      <w:r w:rsidR="00220A7E">
        <w:t>Participant Managers</w:t>
      </w:r>
      <w:r>
        <w:t xml:space="preserve"> of why, then </w:t>
      </w:r>
      <w:r w:rsidR="00220A7E">
        <w:t>Participant Managers</w:t>
      </w:r>
      <w:r>
        <w:t xml:space="preserve"> should follow local procedures as </w:t>
      </w:r>
      <w:r w:rsidR="00220A7E">
        <w:t>Participant Managers</w:t>
      </w:r>
      <w:r>
        <w:t xml:space="preserve"> would do for an employee as part of </w:t>
      </w:r>
      <w:r w:rsidR="00D96C77">
        <w:t>a</w:t>
      </w:r>
      <w:r>
        <w:t xml:space="preserve"> duty of care to confirm the participant’s safety and wellbeing.</w:t>
      </w:r>
    </w:p>
    <w:p w14:paraId="750C66D1" w14:textId="47B46E78" w:rsidR="00B97207" w:rsidRPr="00F969C0" w:rsidRDefault="00821FF2" w:rsidP="000462B5">
      <w:pPr>
        <w:pStyle w:val="ListBullet2"/>
      </w:pPr>
      <w:r w:rsidRPr="00F969C0">
        <w:t>If a participant needs to meet with their probation officer</w:t>
      </w:r>
      <w:r w:rsidR="004408D7">
        <w:t>,</w:t>
      </w:r>
      <w:r w:rsidRPr="00F969C0">
        <w:t xml:space="preserve"> time </w:t>
      </w:r>
      <w:r w:rsidR="00872FC9" w:rsidRPr="00F969C0">
        <w:t>off should</w:t>
      </w:r>
      <w:r w:rsidRPr="00F969C0">
        <w:t xml:space="preserve"> be allowed.</w:t>
      </w:r>
      <w:r w:rsidR="00872FC9" w:rsidRPr="00F969C0">
        <w:t xml:space="preserve"> </w:t>
      </w:r>
      <w:r w:rsidR="00220A7E">
        <w:t>Participant Managers</w:t>
      </w:r>
      <w:r w:rsidRPr="00F969C0">
        <w:t xml:space="preserve"> will be made aware of this requirement before the participant starts their </w:t>
      </w:r>
      <w:r w:rsidR="002C0AD9">
        <w:t>Work Experience Opportunity</w:t>
      </w:r>
      <w:r w:rsidR="00872FC9" w:rsidRPr="00F969C0">
        <w:t>.</w:t>
      </w:r>
    </w:p>
    <w:p w14:paraId="79D624A1" w14:textId="3D79A7D1" w:rsidR="00872FC9" w:rsidRDefault="00872FC9" w:rsidP="009E7666">
      <w:pPr>
        <w:pStyle w:val="CSHRBodyText"/>
        <w:numPr>
          <w:ilvl w:val="0"/>
          <w:numId w:val="13"/>
        </w:numPr>
        <w:tabs>
          <w:tab w:val="left" w:pos="709"/>
        </w:tabs>
        <w:ind w:left="567" w:hanging="567"/>
        <w:rPr>
          <w:rFonts w:cs="Arial"/>
        </w:rPr>
      </w:pPr>
      <w:r>
        <w:t>Participants in receipt of benefits must be allow</w:t>
      </w:r>
      <w:r w:rsidR="004B4A05">
        <w:t>ed</w:t>
      </w:r>
      <w:r>
        <w:t xml:space="preserve"> time to meet their claimant obligations. </w:t>
      </w:r>
      <w:r w:rsidR="00AE5263" w:rsidRPr="00B951A1">
        <w:t xml:space="preserve">The Jobcentre </w:t>
      </w:r>
      <w:proofErr w:type="gramStart"/>
      <w:r w:rsidR="00AE5263" w:rsidRPr="00B951A1">
        <w:t>Plus</w:t>
      </w:r>
      <w:proofErr w:type="gramEnd"/>
      <w:r w:rsidR="00AE5263" w:rsidRPr="00B951A1">
        <w:t xml:space="preserve"> Work Coach will agree this</w:t>
      </w:r>
      <w:r w:rsidRPr="00B951A1">
        <w:t xml:space="preserve"> with the participant. </w:t>
      </w:r>
      <w:r w:rsidRPr="00965F21">
        <w:rPr>
          <w:rFonts w:cs="Arial"/>
        </w:rPr>
        <w:t>There may be some flexibility around this and ideally, where</w:t>
      </w:r>
      <w:r>
        <w:rPr>
          <w:rFonts w:cs="Arial"/>
        </w:rPr>
        <w:t xml:space="preserve"> the</w:t>
      </w:r>
      <w:r w:rsidRPr="00965F21">
        <w:rPr>
          <w:rFonts w:cs="Arial"/>
        </w:rPr>
        <w:t xml:space="preserve"> participant</w:t>
      </w:r>
      <w:r>
        <w:rPr>
          <w:rFonts w:cs="Arial"/>
        </w:rPr>
        <w:t xml:space="preserve"> i</w:t>
      </w:r>
      <w:r w:rsidRPr="00965F21">
        <w:rPr>
          <w:rFonts w:cs="Arial"/>
        </w:rPr>
        <w:t xml:space="preserve">s required to continue to sign on, the Jobcentre will agree an appointment outside of the </w:t>
      </w:r>
      <w:r w:rsidR="002C0AD9">
        <w:rPr>
          <w:rFonts w:cs="Arial"/>
        </w:rPr>
        <w:t>Work Experience Opportunity</w:t>
      </w:r>
      <w:r w:rsidRPr="00965F21">
        <w:rPr>
          <w:rFonts w:cs="Arial"/>
        </w:rPr>
        <w:t xml:space="preserve"> hours of attendance. Any issues arising from the participant’s required attendance at the Jobcentre should be discussed with the Work Coach so that the participant’s claim to benefit is not adversely affected</w:t>
      </w:r>
      <w:r>
        <w:rPr>
          <w:rFonts w:cs="Arial"/>
        </w:rPr>
        <w:t xml:space="preserve"> as a result of attending a </w:t>
      </w:r>
      <w:r w:rsidR="002C0AD9">
        <w:rPr>
          <w:rFonts w:cs="Arial"/>
        </w:rPr>
        <w:t>Work Experience Opportunity</w:t>
      </w:r>
      <w:r w:rsidRPr="00965F21">
        <w:rPr>
          <w:rFonts w:cs="Arial"/>
        </w:rPr>
        <w:t>.</w:t>
      </w:r>
    </w:p>
    <w:p w14:paraId="451EF703" w14:textId="5A6D03A0" w:rsidR="00872FC9" w:rsidRPr="006510C0" w:rsidRDefault="00872FC9" w:rsidP="006510C0">
      <w:pPr>
        <w:pStyle w:val="ListBullet2"/>
      </w:pPr>
      <w:r w:rsidRPr="006510C0">
        <w:t xml:space="preserve">If there is industrial action during the </w:t>
      </w:r>
      <w:r w:rsidR="002C0AD9" w:rsidRPr="006510C0">
        <w:t>Work Experience Opportunity</w:t>
      </w:r>
      <w:r w:rsidRPr="006510C0">
        <w:t xml:space="preserve">, </w:t>
      </w:r>
      <w:r w:rsidR="00220A7E" w:rsidRPr="006510C0">
        <w:t>Participant Managers</w:t>
      </w:r>
      <w:r w:rsidRPr="006510C0">
        <w:t xml:space="preserve"> will need to </w:t>
      </w:r>
      <w:r w:rsidR="003242AE" w:rsidRPr="006510C0">
        <w:t>ass</w:t>
      </w:r>
      <w:r w:rsidRPr="006510C0">
        <w:t xml:space="preserve">ess the impact of the industrial action on site. If there will be appropriate supervision and enough work for the participant to do, they could continue to attend. If it is agreed that the participant will not attend during industrial action, there will be no adverse impact in terms of their benefit entitlement. </w:t>
      </w:r>
      <w:r w:rsidR="00220A7E" w:rsidRPr="006510C0">
        <w:t>Participant Managers</w:t>
      </w:r>
      <w:r w:rsidRPr="006510C0">
        <w:t xml:space="preserve"> may wish to warn the participant that there may be pickets outside the building. </w:t>
      </w:r>
    </w:p>
    <w:p w14:paraId="40F7DC2C" w14:textId="5E7EB440" w:rsidR="00872FC9" w:rsidRPr="006510C0" w:rsidRDefault="00872FC9" w:rsidP="006510C0">
      <w:pPr>
        <w:pStyle w:val="ListBullet2"/>
      </w:pPr>
      <w:r w:rsidRPr="006510C0">
        <w:t xml:space="preserve">If </w:t>
      </w:r>
      <w:r w:rsidR="003028B7" w:rsidRPr="006510C0">
        <w:t>the Participant Manager’s</w:t>
      </w:r>
      <w:r w:rsidRPr="006510C0">
        <w:t xml:space="preserve"> team has voluntary work</w:t>
      </w:r>
      <w:r w:rsidR="008166CF" w:rsidRPr="006510C0">
        <w:t xml:space="preserve"> or a team exercise </w:t>
      </w:r>
      <w:r w:rsidRPr="006510C0">
        <w:t xml:space="preserve">planned, </w:t>
      </w:r>
      <w:r w:rsidR="003028B7" w:rsidRPr="006510C0">
        <w:t>they</w:t>
      </w:r>
      <w:r w:rsidRPr="006510C0">
        <w:t xml:space="preserve"> may want to consider if the participant should take part. This will depend on the activity being carried out </w:t>
      </w:r>
      <w:r w:rsidR="0014294A" w:rsidRPr="006510C0">
        <w:t>and</w:t>
      </w:r>
      <w:r w:rsidRPr="006510C0">
        <w:t xml:space="preserve"> whether it takes place on or off departmental premises. </w:t>
      </w:r>
      <w:r w:rsidR="00220A7E" w:rsidRPr="006510C0">
        <w:t>Participant Managers</w:t>
      </w:r>
      <w:r w:rsidRPr="006510C0">
        <w:t xml:space="preserve"> should discuss this with </w:t>
      </w:r>
      <w:r w:rsidR="003028B7" w:rsidRPr="006510C0">
        <w:t>the</w:t>
      </w:r>
      <w:r w:rsidRPr="006510C0">
        <w:t xml:space="preserve"> Health and Safety team, as </w:t>
      </w:r>
      <w:r w:rsidR="00220A7E" w:rsidRPr="006510C0">
        <w:t>Participant Managers</w:t>
      </w:r>
      <w:r w:rsidRPr="006510C0">
        <w:t xml:space="preserve"> will also need to consider whether it is appropriate for the participant to </w:t>
      </w:r>
      <w:r w:rsidR="008166CF" w:rsidRPr="006510C0">
        <w:t>attend</w:t>
      </w:r>
      <w:r w:rsidRPr="006510C0">
        <w:t xml:space="preserve"> given that the purpose of the </w:t>
      </w:r>
      <w:r w:rsidR="002C0AD9" w:rsidRPr="006510C0">
        <w:t>Work Experience Opportunity</w:t>
      </w:r>
      <w:r w:rsidRPr="006510C0">
        <w:t xml:space="preserve"> is for them to gain work experien</w:t>
      </w:r>
      <w:r w:rsidR="00CC250D" w:rsidRPr="006510C0">
        <w:t>ce</w:t>
      </w:r>
      <w:r w:rsidR="008166CF" w:rsidRPr="006510C0">
        <w:t>.</w:t>
      </w:r>
    </w:p>
    <w:p w14:paraId="1506AC43" w14:textId="6BE0662D" w:rsidR="006E1578" w:rsidRDefault="006E1578" w:rsidP="006E1578">
      <w:pPr>
        <w:pStyle w:val="Heading3"/>
      </w:pPr>
      <w:r>
        <w:t>Applying for jobs</w:t>
      </w:r>
    </w:p>
    <w:p w14:paraId="65A61E01" w14:textId="77777777" w:rsidR="006E1578" w:rsidRPr="009C4580" w:rsidRDefault="006E1578" w:rsidP="006E1578">
      <w:pPr>
        <w:pStyle w:val="ListParagraph"/>
        <w:numPr>
          <w:ilvl w:val="0"/>
          <w:numId w:val="13"/>
        </w:numPr>
        <w:spacing w:line="280" w:lineRule="exact"/>
        <w:ind w:left="567" w:hanging="567"/>
        <w:rPr>
          <w:rFonts w:cs="Arial"/>
        </w:rPr>
      </w:pPr>
      <w:r w:rsidRPr="005752D4">
        <w:t>If</w:t>
      </w:r>
      <w:r>
        <w:t xml:space="preserve"> participants ask about applying for</w:t>
      </w:r>
      <w:r w:rsidRPr="005752D4">
        <w:t xml:space="preserve"> </w:t>
      </w:r>
      <w:r>
        <w:t xml:space="preserve">apprenticeships or other </w:t>
      </w:r>
      <w:r w:rsidRPr="005752D4">
        <w:t xml:space="preserve">employment opportunities, they should </w:t>
      </w:r>
      <w:r>
        <w:t xml:space="preserve">be given help to register on </w:t>
      </w:r>
      <w:r w:rsidRPr="005752D4">
        <w:t xml:space="preserve">the </w:t>
      </w:r>
      <w:hyperlink r:id="rId16" w:history="1">
        <w:r w:rsidRPr="008E18D1">
          <w:rPr>
            <w:rStyle w:val="Hyperlink"/>
          </w:rPr>
          <w:t>CS Jobs</w:t>
        </w:r>
      </w:hyperlink>
      <w:r w:rsidRPr="005752D4">
        <w:t xml:space="preserve"> website.</w:t>
      </w:r>
      <w:r>
        <w:t xml:space="preserve"> Departments may wish to keep a list of participants and, if they consent, contacting them when opportunities are available to apply for. This may be particularly helpful where apprenticeships are advertised.</w:t>
      </w:r>
    </w:p>
    <w:p w14:paraId="30D9FB1C" w14:textId="77777777" w:rsidR="006E1578" w:rsidRPr="00931E31" w:rsidRDefault="006E1578" w:rsidP="006E1578">
      <w:pPr>
        <w:pStyle w:val="ListParagraph"/>
        <w:numPr>
          <w:ilvl w:val="0"/>
          <w:numId w:val="13"/>
        </w:numPr>
        <w:spacing w:line="280" w:lineRule="exact"/>
        <w:ind w:left="567" w:hanging="567"/>
        <w:rPr>
          <w:rFonts w:cs="Arial"/>
        </w:rPr>
      </w:pPr>
      <w:r>
        <w:t>Participants can only apply for apprenticeships or other posts advertised externally, as they are not employees.</w:t>
      </w:r>
    </w:p>
    <w:p w14:paraId="43CBFDBD" w14:textId="77777777" w:rsidR="00F30935" w:rsidRPr="005752D4" w:rsidRDefault="00F30935" w:rsidP="00F30935">
      <w:pPr>
        <w:pStyle w:val="Heading3"/>
        <w:rPr>
          <w:b w:val="0"/>
        </w:rPr>
      </w:pPr>
      <w:bookmarkStart w:id="36" w:name="_Toc381107745"/>
      <w:r w:rsidRPr="005752D4">
        <w:t>Expenses</w:t>
      </w:r>
      <w:bookmarkEnd w:id="36"/>
    </w:p>
    <w:p w14:paraId="03D201DF" w14:textId="1831E144" w:rsidR="00F30935" w:rsidRPr="00545CF2" w:rsidRDefault="00F30935" w:rsidP="00F30935">
      <w:pPr>
        <w:pStyle w:val="ListParagraph"/>
        <w:numPr>
          <w:ilvl w:val="0"/>
          <w:numId w:val="13"/>
        </w:numPr>
        <w:tabs>
          <w:tab w:val="left" w:pos="851"/>
        </w:tabs>
        <w:spacing w:line="280" w:lineRule="exact"/>
        <w:ind w:left="567" w:hanging="567"/>
      </w:pPr>
      <w:r w:rsidRPr="006B605D">
        <w:lastRenderedPageBreak/>
        <w:t xml:space="preserve">Departments are not allowed to make any </w:t>
      </w:r>
      <w:r>
        <w:t xml:space="preserve">payments directly to individual participants. However, business units </w:t>
      </w:r>
      <w:r w:rsidRPr="006B605D">
        <w:t>should cover the c</w:t>
      </w:r>
      <w:r>
        <w:t>osts of any additional travel, e.g</w:t>
      </w:r>
      <w:r w:rsidRPr="006B605D">
        <w:t>. purchasing rail tick</w:t>
      </w:r>
      <w:r>
        <w:t>ets on behalf of the individual,</w:t>
      </w:r>
      <w:r w:rsidRPr="006B605D">
        <w:t xml:space="preserve"> incurred as a result of official visits during the </w:t>
      </w:r>
      <w:r w:rsidR="002C0AD9">
        <w:t>Work Experience Opportunity</w:t>
      </w:r>
      <w:r w:rsidRPr="006B605D">
        <w:t xml:space="preserve">. </w:t>
      </w:r>
      <w:r w:rsidRPr="005752D4">
        <w:rPr>
          <w:rStyle w:val="NormalBoldChar"/>
        </w:rPr>
        <w:t>[DN: Departments to adapt to suit local arrangements]</w:t>
      </w:r>
    </w:p>
    <w:p w14:paraId="2A9E830F" w14:textId="77777777" w:rsidR="00F30935" w:rsidRDefault="00F30935" w:rsidP="00F30935">
      <w:pPr>
        <w:pStyle w:val="ListNumber"/>
        <w:numPr>
          <w:ilvl w:val="0"/>
          <w:numId w:val="13"/>
        </w:numPr>
        <w:tabs>
          <w:tab w:val="clear" w:pos="720"/>
          <w:tab w:val="left" w:pos="851"/>
        </w:tabs>
        <w:ind w:left="567" w:hanging="567"/>
        <w:rPr>
          <w:rStyle w:val="NormalBoldChar"/>
        </w:rPr>
      </w:pPr>
      <w:r w:rsidRPr="005752D4">
        <w:t xml:space="preserve">If </w:t>
      </w:r>
      <w:r>
        <w:t>required</w:t>
      </w:r>
      <w:r w:rsidRPr="005752D4">
        <w:t>, Jobcentre Plus will make arrangements with</w:t>
      </w:r>
      <w:r>
        <w:t xml:space="preserve"> </w:t>
      </w:r>
      <w:r w:rsidRPr="005752D4">
        <w:t>participants for</w:t>
      </w:r>
      <w:r>
        <w:t xml:space="preserve"> daily</w:t>
      </w:r>
      <w:r w:rsidRPr="005752D4">
        <w:t xml:space="preserve"> travel and subsistence expenses.</w:t>
      </w:r>
    </w:p>
    <w:p w14:paraId="3FDCBCD4" w14:textId="0DA503CB" w:rsidR="005E2C7F" w:rsidRDefault="005E2C7F" w:rsidP="005E2C7F">
      <w:pPr>
        <w:pStyle w:val="Heading2"/>
      </w:pPr>
      <w:bookmarkStart w:id="37" w:name="_Toc381107759"/>
      <w:bookmarkStart w:id="38" w:name="_Toc383097664"/>
      <w:bookmarkStart w:id="39" w:name="_Toc527540889"/>
      <w:r w:rsidRPr="005752D4">
        <w:t xml:space="preserve">Ending the </w:t>
      </w:r>
      <w:r w:rsidR="002C0AD9">
        <w:t>Work Experience Opportunity</w:t>
      </w:r>
      <w:bookmarkEnd w:id="37"/>
      <w:bookmarkEnd w:id="38"/>
      <w:bookmarkEnd w:id="39"/>
    </w:p>
    <w:p w14:paraId="47FA46B1" w14:textId="1A8883BD" w:rsidR="00931E31" w:rsidRDefault="003028B7" w:rsidP="00931E31">
      <w:pPr>
        <w:pStyle w:val="ListParagraph"/>
        <w:numPr>
          <w:ilvl w:val="0"/>
          <w:numId w:val="13"/>
        </w:numPr>
        <w:spacing w:line="280" w:lineRule="exact"/>
        <w:ind w:left="567" w:hanging="567"/>
      </w:pPr>
      <w:r>
        <w:t>Within the Participant Manager’s toolkit, there is a checklist for completion at the end of the Work Experience Opportunity.</w:t>
      </w:r>
    </w:p>
    <w:p w14:paraId="2C77B9C2" w14:textId="77777777" w:rsidR="006E1578" w:rsidRDefault="006E1578" w:rsidP="006E1578">
      <w:pPr>
        <w:pStyle w:val="ListNumber"/>
        <w:numPr>
          <w:ilvl w:val="0"/>
          <w:numId w:val="13"/>
        </w:numPr>
        <w:tabs>
          <w:tab w:val="clear" w:pos="720"/>
          <w:tab w:val="left" w:pos="567"/>
        </w:tabs>
        <w:ind w:left="567" w:hanging="567"/>
      </w:pPr>
      <w:r w:rsidRPr="005752D4">
        <w:t>Participants should leave the Department having gained valuable and practical experience and a positive impression of the Civil Service.</w:t>
      </w:r>
    </w:p>
    <w:p w14:paraId="5631FCD4" w14:textId="62122229" w:rsidR="00931E31" w:rsidRPr="00931E31" w:rsidRDefault="00931E31" w:rsidP="00931E31">
      <w:pPr>
        <w:pStyle w:val="Heading3"/>
      </w:pPr>
      <w:r>
        <w:t xml:space="preserve">Ending the </w:t>
      </w:r>
      <w:r w:rsidR="002C0AD9">
        <w:t>Work Experience Opportunity</w:t>
      </w:r>
      <w:r>
        <w:t xml:space="preserve"> on the planned date</w:t>
      </w:r>
    </w:p>
    <w:p w14:paraId="57C41E16" w14:textId="6D33216C" w:rsidR="00CC250D" w:rsidRDefault="005E2C7F" w:rsidP="009E7666">
      <w:pPr>
        <w:pStyle w:val="ListParagraph"/>
        <w:numPr>
          <w:ilvl w:val="0"/>
          <w:numId w:val="13"/>
        </w:numPr>
        <w:spacing w:line="280" w:lineRule="exact"/>
        <w:ind w:left="567" w:hanging="567"/>
      </w:pPr>
      <w:r w:rsidRPr="005752D4">
        <w:t xml:space="preserve">A meeting should be arranged with each participant to discuss their experiences during the </w:t>
      </w:r>
      <w:r w:rsidR="002C0AD9">
        <w:t>Work Experience Opportunity</w:t>
      </w:r>
      <w:r w:rsidR="003028B7">
        <w:t>.</w:t>
      </w:r>
    </w:p>
    <w:p w14:paraId="007C0D4C" w14:textId="48CD215B" w:rsidR="00CC250D" w:rsidRDefault="00220A7E" w:rsidP="009E7666">
      <w:pPr>
        <w:pStyle w:val="ListParagraph"/>
        <w:numPr>
          <w:ilvl w:val="0"/>
          <w:numId w:val="13"/>
        </w:numPr>
        <w:spacing w:line="280" w:lineRule="exact"/>
        <w:ind w:left="567" w:hanging="567"/>
      </w:pPr>
      <w:r>
        <w:t>Participant Managers</w:t>
      </w:r>
      <w:r w:rsidR="00644382">
        <w:t xml:space="preserve"> should r</w:t>
      </w:r>
      <w:r w:rsidR="00CC250D" w:rsidRPr="004D25E7">
        <w:t>emind the participant t</w:t>
      </w:r>
      <w:r w:rsidR="003028B7">
        <w:t>hat the record of achievement</w:t>
      </w:r>
      <w:r w:rsidR="00CC250D" w:rsidRPr="004D25E7">
        <w:t xml:space="preserve"> a</w:t>
      </w:r>
      <w:r w:rsidR="00CC250D">
        <w:t>nd the W</w:t>
      </w:r>
      <w:r w:rsidR="00CC250D" w:rsidRPr="004D25E7">
        <w:t xml:space="preserve">orkbook are all evidence of the activities undertaken during the </w:t>
      </w:r>
      <w:r w:rsidR="002C0AD9">
        <w:t>Work Experience Opportunity</w:t>
      </w:r>
      <w:r w:rsidR="00CC250D" w:rsidRPr="004D25E7">
        <w:t xml:space="preserve"> and the skills they demonstrated and may be useful</w:t>
      </w:r>
      <w:r w:rsidR="00CC250D">
        <w:t xml:space="preserve"> in their search for employment</w:t>
      </w:r>
      <w:r w:rsidR="008166CF">
        <w:t>.</w:t>
      </w:r>
    </w:p>
    <w:p w14:paraId="5F89C2B0" w14:textId="26343DFB" w:rsidR="00931E31" w:rsidRPr="005752D4" w:rsidRDefault="00220A7E" w:rsidP="00931E31">
      <w:pPr>
        <w:pStyle w:val="ListNumber"/>
        <w:numPr>
          <w:ilvl w:val="0"/>
          <w:numId w:val="13"/>
        </w:numPr>
        <w:tabs>
          <w:tab w:val="clear" w:pos="720"/>
          <w:tab w:val="left" w:pos="567"/>
        </w:tabs>
        <w:ind w:left="567" w:hanging="567"/>
      </w:pPr>
      <w:r>
        <w:t>Participant Managers</w:t>
      </w:r>
      <w:r w:rsidR="00931E31" w:rsidRPr="005752D4">
        <w:t xml:space="preserve"> should complete the Movement to Work Record of Achievement and</w:t>
      </w:r>
      <w:r w:rsidR="003028B7">
        <w:t xml:space="preserve"> present it to the participant.</w:t>
      </w:r>
    </w:p>
    <w:p w14:paraId="42FED33F" w14:textId="0BEC6B4A" w:rsidR="00931E31" w:rsidRPr="005752D4" w:rsidRDefault="00220A7E" w:rsidP="00931E31">
      <w:pPr>
        <w:pStyle w:val="ListParagraph"/>
        <w:numPr>
          <w:ilvl w:val="0"/>
          <w:numId w:val="13"/>
        </w:numPr>
        <w:tabs>
          <w:tab w:val="left" w:pos="567"/>
        </w:tabs>
        <w:spacing w:line="280" w:lineRule="exact"/>
        <w:ind w:left="567" w:hanging="567"/>
      </w:pPr>
      <w:r>
        <w:t>Participant Managers</w:t>
      </w:r>
      <w:r w:rsidR="00931E31">
        <w:t xml:space="preserve"> may be asked </w:t>
      </w:r>
      <w:r w:rsidR="00931E31" w:rsidRPr="006B605D">
        <w:t>to provide a reference by a prospec</w:t>
      </w:r>
      <w:r w:rsidR="00931E31">
        <w:t>tive employer.</w:t>
      </w:r>
      <w:r w:rsidR="00931E31" w:rsidRPr="006B605D">
        <w:t xml:space="preserve"> </w:t>
      </w:r>
      <w:r w:rsidR="00931E31">
        <w:t>I</w:t>
      </w:r>
      <w:r w:rsidR="00931E31" w:rsidRPr="006B605D">
        <w:t xml:space="preserve">t should be factual and limited to confirming the dates and duration of the </w:t>
      </w:r>
      <w:r w:rsidR="002C0AD9">
        <w:t>Work Experience Opportunity</w:t>
      </w:r>
      <w:r w:rsidR="00931E31" w:rsidRPr="006B605D">
        <w:t xml:space="preserve"> and not refer to the individual</w:t>
      </w:r>
      <w:r w:rsidR="00931E31">
        <w:t>’</w:t>
      </w:r>
      <w:r w:rsidR="00931E31" w:rsidRPr="006B605D">
        <w:t xml:space="preserve">s conduct or timekeeping. </w:t>
      </w:r>
    </w:p>
    <w:p w14:paraId="232AC33E" w14:textId="13F928D5" w:rsidR="00931E31" w:rsidRDefault="00931E31" w:rsidP="00931E31">
      <w:pPr>
        <w:pStyle w:val="Heading3"/>
      </w:pPr>
      <w:r>
        <w:t xml:space="preserve">Extending the </w:t>
      </w:r>
      <w:r w:rsidR="002C0AD9">
        <w:t>Work Experience Opportunity</w:t>
      </w:r>
    </w:p>
    <w:p w14:paraId="24440E70" w14:textId="369164E3" w:rsidR="00CC250D" w:rsidRDefault="00CC250D" w:rsidP="009E7666">
      <w:pPr>
        <w:pStyle w:val="ListNumber"/>
        <w:numPr>
          <w:ilvl w:val="0"/>
          <w:numId w:val="13"/>
        </w:numPr>
        <w:tabs>
          <w:tab w:val="clear" w:pos="720"/>
          <w:tab w:val="left" w:pos="567"/>
        </w:tabs>
        <w:ind w:left="567" w:hanging="567"/>
      </w:pPr>
      <w:r w:rsidRPr="006D0263">
        <w:rPr>
          <w:rFonts w:cs="Arial"/>
          <w:bCs/>
        </w:rPr>
        <w:t xml:space="preserve">Although </w:t>
      </w:r>
      <w:proofErr w:type="spellStart"/>
      <w:r w:rsidR="00F52FA6">
        <w:rPr>
          <w:rFonts w:cs="Arial"/>
          <w:bCs/>
        </w:rPr>
        <w:t>MtW</w:t>
      </w:r>
      <w:proofErr w:type="spellEnd"/>
      <w:r w:rsidR="00F52FA6">
        <w:rPr>
          <w:rFonts w:cs="Arial"/>
          <w:bCs/>
        </w:rPr>
        <w:t xml:space="preserve"> </w:t>
      </w:r>
      <w:r w:rsidR="00D97B20">
        <w:rPr>
          <w:rFonts w:cs="Arial"/>
          <w:bCs/>
        </w:rPr>
        <w:t>Work Experience Opportunities</w:t>
      </w:r>
      <w:r w:rsidRPr="006D0263">
        <w:rPr>
          <w:lang w:eastAsia="en-US"/>
        </w:rPr>
        <w:t xml:space="preserve"> normally last </w:t>
      </w:r>
      <w:r w:rsidR="001D5EC2">
        <w:rPr>
          <w:lang w:eastAsia="en-US"/>
        </w:rPr>
        <w:t>up to</w:t>
      </w:r>
      <w:r w:rsidRPr="006D0263">
        <w:rPr>
          <w:lang w:eastAsia="en-US"/>
        </w:rPr>
        <w:t xml:space="preserve"> six weeks, they may be extended to a maximum of eight weeks in consultation with the Jobcentre </w:t>
      </w:r>
      <w:proofErr w:type="gramStart"/>
      <w:r w:rsidRPr="006D0263">
        <w:rPr>
          <w:lang w:eastAsia="en-US"/>
        </w:rPr>
        <w:t>Plus</w:t>
      </w:r>
      <w:proofErr w:type="gramEnd"/>
      <w:r w:rsidRPr="006D0263">
        <w:rPr>
          <w:lang w:eastAsia="en-US"/>
        </w:rPr>
        <w:t xml:space="preserve"> Work Coach and DWP </w:t>
      </w:r>
      <w:proofErr w:type="spellStart"/>
      <w:r w:rsidR="000D44E8">
        <w:rPr>
          <w:lang w:eastAsia="en-US"/>
        </w:rPr>
        <w:t>MtW</w:t>
      </w:r>
      <w:proofErr w:type="spellEnd"/>
      <w:r w:rsidR="000D44E8">
        <w:rPr>
          <w:lang w:eastAsia="en-US"/>
        </w:rPr>
        <w:t xml:space="preserve"> central</w:t>
      </w:r>
      <w:r w:rsidRPr="006D0263">
        <w:rPr>
          <w:lang w:eastAsia="en-US"/>
        </w:rPr>
        <w:t xml:space="preserve"> team</w:t>
      </w:r>
      <w:r w:rsidR="008166CF">
        <w:rPr>
          <w:lang w:eastAsia="en-US"/>
        </w:rPr>
        <w:t>.</w:t>
      </w:r>
    </w:p>
    <w:p w14:paraId="742275E7" w14:textId="1566958F" w:rsidR="00931E31" w:rsidRPr="005752D4" w:rsidRDefault="00931E31" w:rsidP="00931E31">
      <w:pPr>
        <w:pStyle w:val="Heading3"/>
      </w:pPr>
      <w:r>
        <w:t xml:space="preserve">Ending the </w:t>
      </w:r>
      <w:r w:rsidR="002C0AD9">
        <w:t>Work Experience Opportunity</w:t>
      </w:r>
      <w:r>
        <w:t xml:space="preserve"> early</w:t>
      </w:r>
    </w:p>
    <w:p w14:paraId="3FDCBFA5" w14:textId="0CCAE421" w:rsidR="00740D01" w:rsidRPr="00EF3F23" w:rsidRDefault="005E2C7F" w:rsidP="00EF3F23">
      <w:pPr>
        <w:pStyle w:val="ListNumber"/>
        <w:numPr>
          <w:ilvl w:val="0"/>
          <w:numId w:val="13"/>
        </w:numPr>
        <w:tabs>
          <w:tab w:val="clear" w:pos="720"/>
          <w:tab w:val="left" w:pos="567"/>
          <w:tab w:val="left" w:pos="1620"/>
        </w:tabs>
        <w:ind w:left="567" w:hanging="567"/>
      </w:pPr>
      <w:r w:rsidRPr="005752D4">
        <w:t xml:space="preserve">If the participant is leaving before the agreed end date, </w:t>
      </w:r>
      <w:r w:rsidR="00220A7E">
        <w:t>Participant Managers</w:t>
      </w:r>
      <w:r w:rsidRPr="005752D4">
        <w:t xml:space="preserve"> should identify the reason</w:t>
      </w:r>
      <w:r w:rsidR="004408D7">
        <w:t>/s</w:t>
      </w:r>
      <w:r w:rsidRPr="005752D4">
        <w:t xml:space="preserve"> why. If it is because the content of the </w:t>
      </w:r>
      <w:r w:rsidR="002C0AD9">
        <w:t>Work Experience Opportunity</w:t>
      </w:r>
      <w:r w:rsidRPr="005752D4">
        <w:t xml:space="preserve"> was not what was expected, a review of the content and support provided may be helpful.</w:t>
      </w:r>
      <w:r w:rsidR="00EF3F23">
        <w:tab/>
      </w:r>
    </w:p>
    <w:sectPr w:rsidR="00740D01" w:rsidRPr="00EF3F23" w:rsidSect="00B21288">
      <w:headerReference w:type="even" r:id="rId17"/>
      <w:headerReference w:type="default" r:id="rId18"/>
      <w:footerReference w:type="even" r:id="rId19"/>
      <w:footerReference w:type="default" r:id="rId20"/>
      <w:headerReference w:type="first" r:id="rId21"/>
      <w:footerReference w:type="first" r:id="rId22"/>
      <w:pgSz w:w="11906" w:h="16838" w:code="9"/>
      <w:pgMar w:top="2410" w:right="851" w:bottom="1418"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0C02" w14:textId="77777777" w:rsidR="003E5F2E" w:rsidRDefault="003E5F2E">
      <w:r>
        <w:separator/>
      </w:r>
    </w:p>
  </w:endnote>
  <w:endnote w:type="continuationSeparator" w:id="0">
    <w:p w14:paraId="6C792690" w14:textId="77777777" w:rsidR="003E5F2E" w:rsidRDefault="003E5F2E">
      <w:r>
        <w:continuationSeparator/>
      </w:r>
    </w:p>
  </w:endnote>
  <w:endnote w:type="continuationNotice" w:id="1">
    <w:p w14:paraId="0E50F9A7" w14:textId="77777777" w:rsidR="003E5F2E" w:rsidRDefault="003E5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BFB3" w14:textId="38A7DE69" w:rsidR="003E5F2E" w:rsidRDefault="003E5F2E" w:rsidP="00AC5541">
    <w:pPr>
      <w:framePr w:wrap="around" w:vAnchor="text" w:hAnchor="margin" w:xAlign="center" w:y="1"/>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3FDCBFB4" w14:textId="77777777" w:rsidR="003E5F2E" w:rsidRDefault="003E5F2E" w:rsidP="00847CBB">
    <w:pPr>
      <w:ind w:right="360"/>
    </w:pPr>
  </w:p>
  <w:p w14:paraId="3FDCBFB5" w14:textId="77777777" w:rsidR="003E5F2E" w:rsidRDefault="003E5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291F" w14:textId="1170B057" w:rsidR="003E5F2E" w:rsidRPr="00323420" w:rsidRDefault="00AA7ABF" w:rsidP="00323420">
    <w:pPr>
      <w:tabs>
        <w:tab w:val="left" w:pos="9840"/>
        <w:tab w:val="left" w:pos="9923"/>
      </w:tabs>
      <w:ind w:right="360"/>
    </w:pPr>
    <w:r>
      <w:t>21/12</w:t>
    </w:r>
    <w:bookmarkStart w:id="40" w:name="_GoBack"/>
    <w:bookmarkEnd w:id="40"/>
    <w:r w:rsidR="003E5F2E">
      <w:t>/2018</w:t>
    </w:r>
    <w:r w:rsidR="003E5F2E">
      <w:tab/>
      <w:t xml:space="preserve"> </w:t>
    </w:r>
    <w:r w:rsidR="003E5F2E">
      <w:tab/>
    </w:r>
    <w:r w:rsidR="003E5F2E">
      <w:fldChar w:fldCharType="begin"/>
    </w:r>
    <w:r w:rsidR="003E5F2E">
      <w:instrText xml:space="preserve"> PAGE   \* MERGEFORMAT </w:instrText>
    </w:r>
    <w:r w:rsidR="003E5F2E">
      <w:fldChar w:fldCharType="separate"/>
    </w:r>
    <w:r>
      <w:rPr>
        <w:noProof/>
      </w:rPr>
      <w:t>13</w:t>
    </w:r>
    <w:r w:rsidR="003E5F2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BFB8" w14:textId="5FDFA30A" w:rsidR="003E5F2E" w:rsidRDefault="003E5F2E"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9400" w14:textId="77777777" w:rsidR="003E5F2E" w:rsidRDefault="003E5F2E">
      <w:r>
        <w:separator/>
      </w:r>
    </w:p>
  </w:footnote>
  <w:footnote w:type="continuationSeparator" w:id="0">
    <w:p w14:paraId="39A01BFA" w14:textId="77777777" w:rsidR="003E5F2E" w:rsidRDefault="003E5F2E">
      <w:r>
        <w:continuationSeparator/>
      </w:r>
    </w:p>
  </w:footnote>
  <w:footnote w:type="continuationNotice" w:id="1">
    <w:p w14:paraId="0ABAF60A" w14:textId="77777777" w:rsidR="003E5F2E" w:rsidRDefault="003E5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BFB0" w14:textId="70F5ACB1" w:rsidR="003E5F2E" w:rsidRDefault="003E5F2E"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3FDCBFB1" w14:textId="77777777" w:rsidR="003E5F2E" w:rsidRDefault="003E5F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F85A" w14:textId="77777777" w:rsidR="00AA7ABF" w:rsidRDefault="00AA7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BFB7" w14:textId="3E43B148" w:rsidR="003E5F2E" w:rsidRDefault="003E5F2E"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67A6174"/>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FD20E1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A2703D5C"/>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FF4A3F6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8"/>
    <w:multiLevelType w:val="singleLevel"/>
    <w:tmpl w:val="DB26C52E"/>
    <w:lvl w:ilvl="0">
      <w:start w:val="1"/>
      <w:numFmt w:val="decimal"/>
      <w:pStyle w:val="ListNumber"/>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9"/>
    <w:multiLevelType w:val="singleLevel"/>
    <w:tmpl w:val="9E98C668"/>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6146636"/>
    <w:multiLevelType w:val="hybridMultilevel"/>
    <w:tmpl w:val="F9D03572"/>
    <w:lvl w:ilvl="0" w:tplc="BE069A1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66453C9"/>
    <w:multiLevelType w:val="hybridMultilevel"/>
    <w:tmpl w:val="10363B52"/>
    <w:lvl w:ilvl="0" w:tplc="08090003">
      <w:start w:val="1"/>
      <w:numFmt w:val="bullet"/>
      <w:lvlText w:val="o"/>
      <w:lvlJc w:val="left"/>
      <w:pPr>
        <w:tabs>
          <w:tab w:val="num" w:pos="1492"/>
        </w:tabs>
        <w:ind w:left="1492" w:hanging="360"/>
      </w:pPr>
      <w:rPr>
        <w:rFonts w:ascii="Courier New" w:hAnsi="Courier New" w:cs="Courier New" w:hint="default"/>
      </w:rPr>
    </w:lvl>
    <w:lvl w:ilvl="1" w:tplc="08090003" w:tentative="1">
      <w:start w:val="1"/>
      <w:numFmt w:val="bullet"/>
      <w:lvlText w:val="o"/>
      <w:lvlJc w:val="left"/>
      <w:pPr>
        <w:tabs>
          <w:tab w:val="num" w:pos="2212"/>
        </w:tabs>
        <w:ind w:left="2212" w:hanging="360"/>
      </w:pPr>
      <w:rPr>
        <w:rFonts w:ascii="Courier New" w:hAnsi="Courier New" w:cs="Courier New" w:hint="default"/>
      </w:rPr>
    </w:lvl>
    <w:lvl w:ilvl="2" w:tplc="08090005" w:tentative="1">
      <w:start w:val="1"/>
      <w:numFmt w:val="bullet"/>
      <w:lvlText w:val=""/>
      <w:lvlJc w:val="left"/>
      <w:pPr>
        <w:tabs>
          <w:tab w:val="num" w:pos="2932"/>
        </w:tabs>
        <w:ind w:left="2932" w:hanging="360"/>
      </w:pPr>
      <w:rPr>
        <w:rFonts w:ascii="Wingdings" w:hAnsi="Wingdings" w:hint="default"/>
      </w:rPr>
    </w:lvl>
    <w:lvl w:ilvl="3" w:tplc="08090001" w:tentative="1">
      <w:start w:val="1"/>
      <w:numFmt w:val="bullet"/>
      <w:lvlText w:val=""/>
      <w:lvlJc w:val="left"/>
      <w:pPr>
        <w:tabs>
          <w:tab w:val="num" w:pos="3652"/>
        </w:tabs>
        <w:ind w:left="3652" w:hanging="360"/>
      </w:pPr>
      <w:rPr>
        <w:rFonts w:ascii="Symbol" w:hAnsi="Symbol" w:hint="default"/>
      </w:rPr>
    </w:lvl>
    <w:lvl w:ilvl="4" w:tplc="08090003" w:tentative="1">
      <w:start w:val="1"/>
      <w:numFmt w:val="bullet"/>
      <w:lvlText w:val="o"/>
      <w:lvlJc w:val="left"/>
      <w:pPr>
        <w:tabs>
          <w:tab w:val="num" w:pos="4372"/>
        </w:tabs>
        <w:ind w:left="4372" w:hanging="360"/>
      </w:pPr>
      <w:rPr>
        <w:rFonts w:ascii="Courier New" w:hAnsi="Courier New" w:cs="Courier New" w:hint="default"/>
      </w:rPr>
    </w:lvl>
    <w:lvl w:ilvl="5" w:tplc="08090005" w:tentative="1">
      <w:start w:val="1"/>
      <w:numFmt w:val="bullet"/>
      <w:lvlText w:val=""/>
      <w:lvlJc w:val="left"/>
      <w:pPr>
        <w:tabs>
          <w:tab w:val="num" w:pos="5092"/>
        </w:tabs>
        <w:ind w:left="5092" w:hanging="360"/>
      </w:pPr>
      <w:rPr>
        <w:rFonts w:ascii="Wingdings" w:hAnsi="Wingdings" w:hint="default"/>
      </w:rPr>
    </w:lvl>
    <w:lvl w:ilvl="6" w:tplc="08090001" w:tentative="1">
      <w:start w:val="1"/>
      <w:numFmt w:val="bullet"/>
      <w:lvlText w:val=""/>
      <w:lvlJc w:val="left"/>
      <w:pPr>
        <w:tabs>
          <w:tab w:val="num" w:pos="5812"/>
        </w:tabs>
        <w:ind w:left="5812" w:hanging="360"/>
      </w:pPr>
      <w:rPr>
        <w:rFonts w:ascii="Symbol" w:hAnsi="Symbol" w:hint="default"/>
      </w:rPr>
    </w:lvl>
    <w:lvl w:ilvl="7" w:tplc="08090003" w:tentative="1">
      <w:start w:val="1"/>
      <w:numFmt w:val="bullet"/>
      <w:lvlText w:val="o"/>
      <w:lvlJc w:val="left"/>
      <w:pPr>
        <w:tabs>
          <w:tab w:val="num" w:pos="6532"/>
        </w:tabs>
        <w:ind w:left="6532" w:hanging="360"/>
      </w:pPr>
      <w:rPr>
        <w:rFonts w:ascii="Courier New" w:hAnsi="Courier New" w:cs="Courier New" w:hint="default"/>
      </w:rPr>
    </w:lvl>
    <w:lvl w:ilvl="8" w:tplc="08090005" w:tentative="1">
      <w:start w:val="1"/>
      <w:numFmt w:val="bullet"/>
      <w:lvlText w:val=""/>
      <w:lvlJc w:val="left"/>
      <w:pPr>
        <w:tabs>
          <w:tab w:val="num" w:pos="7252"/>
        </w:tabs>
        <w:ind w:left="7252" w:hanging="360"/>
      </w:pPr>
      <w:rPr>
        <w:rFonts w:ascii="Wingdings" w:hAnsi="Wingdings" w:hint="default"/>
      </w:rPr>
    </w:lvl>
  </w:abstractNum>
  <w:abstractNum w:abstractNumId="8">
    <w:nsid w:val="0B450434"/>
    <w:multiLevelType w:val="hybridMultilevel"/>
    <w:tmpl w:val="E382B4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2487999"/>
    <w:multiLevelType w:val="hybridMultilevel"/>
    <w:tmpl w:val="4C9EA6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77C2341"/>
    <w:multiLevelType w:val="hybridMultilevel"/>
    <w:tmpl w:val="847286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1">
    <w:nsid w:val="18A77E11"/>
    <w:multiLevelType w:val="hybridMultilevel"/>
    <w:tmpl w:val="6B3C6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8F24345"/>
    <w:multiLevelType w:val="hybridMultilevel"/>
    <w:tmpl w:val="CCF0B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18FD466A"/>
    <w:multiLevelType w:val="hybridMultilevel"/>
    <w:tmpl w:val="C54A3C8C"/>
    <w:lvl w:ilvl="0" w:tplc="49C21588">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D2F4EEF"/>
    <w:multiLevelType w:val="hybridMultilevel"/>
    <w:tmpl w:val="BC886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87AE3"/>
    <w:multiLevelType w:val="hybridMultilevel"/>
    <w:tmpl w:val="6780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E22F3A"/>
    <w:multiLevelType w:val="hybridMultilevel"/>
    <w:tmpl w:val="AEE048A2"/>
    <w:lvl w:ilvl="0" w:tplc="84B6A6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1714C"/>
    <w:multiLevelType w:val="hybridMultilevel"/>
    <w:tmpl w:val="06567B9C"/>
    <w:lvl w:ilvl="0" w:tplc="8EC2301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29526039"/>
    <w:multiLevelType w:val="hybridMultilevel"/>
    <w:tmpl w:val="646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B43530"/>
    <w:multiLevelType w:val="hybridMultilevel"/>
    <w:tmpl w:val="424CD0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2D677641"/>
    <w:multiLevelType w:val="hybridMultilevel"/>
    <w:tmpl w:val="6EAC171A"/>
    <w:lvl w:ilvl="0" w:tplc="88187380">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2EB221F3"/>
    <w:multiLevelType w:val="hybridMultilevel"/>
    <w:tmpl w:val="222E9A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326F1AA1"/>
    <w:multiLevelType w:val="hybridMultilevel"/>
    <w:tmpl w:val="9D429D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8B7E76"/>
    <w:multiLevelType w:val="hybridMultilevel"/>
    <w:tmpl w:val="79CAE0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397D35C1"/>
    <w:multiLevelType w:val="hybridMultilevel"/>
    <w:tmpl w:val="99FCC5CA"/>
    <w:lvl w:ilvl="0" w:tplc="5762AEF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3A9D6966"/>
    <w:multiLevelType w:val="hybridMultilevel"/>
    <w:tmpl w:val="66B000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BA9751A"/>
    <w:multiLevelType w:val="hybridMultilevel"/>
    <w:tmpl w:val="8108B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3D8005B1"/>
    <w:multiLevelType w:val="hybridMultilevel"/>
    <w:tmpl w:val="347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21B64"/>
    <w:multiLevelType w:val="hybridMultilevel"/>
    <w:tmpl w:val="F30224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44676D0B"/>
    <w:multiLevelType w:val="hybridMultilevel"/>
    <w:tmpl w:val="2F9E33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450F229E"/>
    <w:multiLevelType w:val="hybridMultilevel"/>
    <w:tmpl w:val="5E8809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47541328"/>
    <w:multiLevelType w:val="hybridMultilevel"/>
    <w:tmpl w:val="217877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1EF020C"/>
    <w:multiLevelType w:val="hybridMultilevel"/>
    <w:tmpl w:val="1B5A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F6193A"/>
    <w:multiLevelType w:val="hybridMultilevel"/>
    <w:tmpl w:val="B4D03326"/>
    <w:lvl w:ilvl="0" w:tplc="D59424DC">
      <w:start w:val="1"/>
      <w:numFmt w:val="decimal"/>
      <w:pStyle w:val="ListBullet2"/>
      <w:lvlText w:val="%1."/>
      <w:lvlJc w:val="left"/>
      <w:pPr>
        <w:ind w:left="502"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06C3E"/>
    <w:multiLevelType w:val="hybridMultilevel"/>
    <w:tmpl w:val="B2B44916"/>
    <w:lvl w:ilvl="0" w:tplc="35C8B848">
      <w:start w:val="1"/>
      <w:numFmt w:val="decimal"/>
      <w:pStyle w:val="Questions"/>
      <w:lvlText w:val="Q%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00A2F5F"/>
    <w:multiLevelType w:val="hybridMultilevel"/>
    <w:tmpl w:val="3C7845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nsid w:val="62743F5D"/>
    <w:multiLevelType w:val="hybridMultilevel"/>
    <w:tmpl w:val="24727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6792171C"/>
    <w:multiLevelType w:val="hybridMultilevel"/>
    <w:tmpl w:val="785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6E1B70"/>
    <w:multiLevelType w:val="hybridMultilevel"/>
    <w:tmpl w:val="7E1452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720C18E8"/>
    <w:multiLevelType w:val="hybridMultilevel"/>
    <w:tmpl w:val="58483E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28A7025"/>
    <w:multiLevelType w:val="hybridMultilevel"/>
    <w:tmpl w:val="22A0A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5DB130D"/>
    <w:multiLevelType w:val="multilevel"/>
    <w:tmpl w:val="0C72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BA3B3E"/>
    <w:multiLevelType w:val="hybridMultilevel"/>
    <w:tmpl w:val="0ED668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7C17530E"/>
    <w:multiLevelType w:val="hybridMultilevel"/>
    <w:tmpl w:val="F82A2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E3341CF"/>
    <w:multiLevelType w:val="hybridMultilevel"/>
    <w:tmpl w:val="B5145A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7E537FD2"/>
    <w:multiLevelType w:val="hybridMultilevel"/>
    <w:tmpl w:val="CF92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11"/>
  </w:num>
  <w:num w:numId="8">
    <w:abstractNumId w:val="7"/>
  </w:num>
  <w:num w:numId="9">
    <w:abstractNumId w:val="6"/>
  </w:num>
  <w:num w:numId="10">
    <w:abstractNumId w:val="33"/>
  </w:num>
  <w:num w:numId="11">
    <w:abstractNumId w:val="35"/>
  </w:num>
  <w:num w:numId="12">
    <w:abstractNumId w:val="28"/>
  </w:num>
  <w:num w:numId="13">
    <w:abstractNumId w:val="34"/>
  </w:num>
  <w:num w:numId="14">
    <w:abstractNumId w:val="10"/>
  </w:num>
  <w:num w:numId="15">
    <w:abstractNumId w:val="14"/>
  </w:num>
  <w:num w:numId="16">
    <w:abstractNumId w:val="45"/>
  </w:num>
  <w:num w:numId="17">
    <w:abstractNumId w:val="41"/>
  </w:num>
  <w:num w:numId="18">
    <w:abstractNumId w:val="13"/>
  </w:num>
  <w:num w:numId="19">
    <w:abstractNumId w:val="21"/>
  </w:num>
  <w:num w:numId="20">
    <w:abstractNumId w:val="12"/>
  </w:num>
  <w:num w:numId="21">
    <w:abstractNumId w:val="25"/>
  </w:num>
  <w:num w:numId="22">
    <w:abstractNumId w:val="40"/>
  </w:num>
  <w:num w:numId="23">
    <w:abstractNumId w:val="44"/>
  </w:num>
  <w:num w:numId="24">
    <w:abstractNumId w:val="43"/>
  </w:num>
  <w:num w:numId="25">
    <w:abstractNumId w:val="27"/>
  </w:num>
  <w:num w:numId="26">
    <w:abstractNumId w:val="8"/>
  </w:num>
  <w:num w:numId="27">
    <w:abstractNumId w:val="20"/>
  </w:num>
  <w:num w:numId="28">
    <w:abstractNumId w:val="17"/>
  </w:num>
  <w:num w:numId="29">
    <w:abstractNumId w:val="36"/>
  </w:num>
  <w:num w:numId="30">
    <w:abstractNumId w:val="29"/>
  </w:num>
  <w:num w:numId="31">
    <w:abstractNumId w:val="9"/>
  </w:num>
  <w:num w:numId="32">
    <w:abstractNumId w:val="39"/>
  </w:num>
  <w:num w:numId="33">
    <w:abstractNumId w:val="37"/>
  </w:num>
  <w:num w:numId="34">
    <w:abstractNumId w:val="22"/>
  </w:num>
  <w:num w:numId="35">
    <w:abstractNumId w:val="32"/>
  </w:num>
  <w:num w:numId="36">
    <w:abstractNumId w:val="24"/>
  </w:num>
  <w:num w:numId="37">
    <w:abstractNumId w:val="26"/>
  </w:num>
  <w:num w:numId="38">
    <w:abstractNumId w:val="31"/>
  </w:num>
  <w:num w:numId="39">
    <w:abstractNumId w:val="30"/>
  </w:num>
  <w:num w:numId="40">
    <w:abstractNumId w:val="46"/>
  </w:num>
  <w:num w:numId="41">
    <w:abstractNumId w:val="18"/>
  </w:num>
  <w:num w:numId="42">
    <w:abstractNumId w:val="23"/>
  </w:num>
  <w:num w:numId="43">
    <w:abstractNumId w:val="38"/>
  </w:num>
  <w:num w:numId="44">
    <w:abstractNumId w:val="16"/>
  </w:num>
  <w:num w:numId="45">
    <w:abstractNumId w:val="15"/>
  </w:num>
  <w:num w:numId="46">
    <w:abstractNumId w:val="42"/>
  </w:num>
  <w:num w:numId="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18433">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E"/>
    <w:rsid w:val="00001092"/>
    <w:rsid w:val="00002A9C"/>
    <w:rsid w:val="00002DD5"/>
    <w:rsid w:val="00006866"/>
    <w:rsid w:val="00006BA0"/>
    <w:rsid w:val="000111DE"/>
    <w:rsid w:val="0001192E"/>
    <w:rsid w:val="0001262E"/>
    <w:rsid w:val="000176E2"/>
    <w:rsid w:val="00020BEF"/>
    <w:rsid w:val="00020BFB"/>
    <w:rsid w:val="00020D1E"/>
    <w:rsid w:val="000215E0"/>
    <w:rsid w:val="00021FE4"/>
    <w:rsid w:val="00024F1C"/>
    <w:rsid w:val="00027FE2"/>
    <w:rsid w:val="00030E6B"/>
    <w:rsid w:val="0003511D"/>
    <w:rsid w:val="00035E4E"/>
    <w:rsid w:val="000360F9"/>
    <w:rsid w:val="00036873"/>
    <w:rsid w:val="00040705"/>
    <w:rsid w:val="0004132A"/>
    <w:rsid w:val="00041E57"/>
    <w:rsid w:val="00042846"/>
    <w:rsid w:val="00044D49"/>
    <w:rsid w:val="0004598C"/>
    <w:rsid w:val="000462B5"/>
    <w:rsid w:val="00050B29"/>
    <w:rsid w:val="000511FD"/>
    <w:rsid w:val="00053E1D"/>
    <w:rsid w:val="00057E8C"/>
    <w:rsid w:val="0006004B"/>
    <w:rsid w:val="00060F44"/>
    <w:rsid w:val="00060F83"/>
    <w:rsid w:val="00062860"/>
    <w:rsid w:val="0007343C"/>
    <w:rsid w:val="000773DD"/>
    <w:rsid w:val="000806E2"/>
    <w:rsid w:val="00082D6D"/>
    <w:rsid w:val="000831FD"/>
    <w:rsid w:val="0008507D"/>
    <w:rsid w:val="00086662"/>
    <w:rsid w:val="00090B1A"/>
    <w:rsid w:val="00091F9C"/>
    <w:rsid w:val="00096207"/>
    <w:rsid w:val="000A0B2F"/>
    <w:rsid w:val="000A3DC5"/>
    <w:rsid w:val="000A4838"/>
    <w:rsid w:val="000A6844"/>
    <w:rsid w:val="000C0DC3"/>
    <w:rsid w:val="000C2157"/>
    <w:rsid w:val="000C7130"/>
    <w:rsid w:val="000D283A"/>
    <w:rsid w:val="000D2D93"/>
    <w:rsid w:val="000D44E8"/>
    <w:rsid w:val="000D5F50"/>
    <w:rsid w:val="000D76F2"/>
    <w:rsid w:val="000E4B47"/>
    <w:rsid w:val="000E6B6D"/>
    <w:rsid w:val="000E7DE2"/>
    <w:rsid w:val="000F1861"/>
    <w:rsid w:val="000F33B5"/>
    <w:rsid w:val="000F4519"/>
    <w:rsid w:val="001063A9"/>
    <w:rsid w:val="00106B1B"/>
    <w:rsid w:val="00110365"/>
    <w:rsid w:val="00111851"/>
    <w:rsid w:val="001124C0"/>
    <w:rsid w:val="00112E28"/>
    <w:rsid w:val="00114A9A"/>
    <w:rsid w:val="00114F92"/>
    <w:rsid w:val="00115353"/>
    <w:rsid w:val="00116DDD"/>
    <w:rsid w:val="00121A2E"/>
    <w:rsid w:val="001228AC"/>
    <w:rsid w:val="001241E7"/>
    <w:rsid w:val="0012446E"/>
    <w:rsid w:val="00125B1B"/>
    <w:rsid w:val="00127402"/>
    <w:rsid w:val="001278EB"/>
    <w:rsid w:val="0013762F"/>
    <w:rsid w:val="00140737"/>
    <w:rsid w:val="0014294A"/>
    <w:rsid w:val="00142BF6"/>
    <w:rsid w:val="001465B6"/>
    <w:rsid w:val="00157171"/>
    <w:rsid w:val="001609D7"/>
    <w:rsid w:val="0016141C"/>
    <w:rsid w:val="001614C9"/>
    <w:rsid w:val="001647C7"/>
    <w:rsid w:val="00164873"/>
    <w:rsid w:val="00165EE4"/>
    <w:rsid w:val="0016734E"/>
    <w:rsid w:val="00170B01"/>
    <w:rsid w:val="001734CE"/>
    <w:rsid w:val="00174CC2"/>
    <w:rsid w:val="00175DB6"/>
    <w:rsid w:val="00183BAD"/>
    <w:rsid w:val="00186465"/>
    <w:rsid w:val="0019181A"/>
    <w:rsid w:val="00194F5D"/>
    <w:rsid w:val="001A31DB"/>
    <w:rsid w:val="001A5EF9"/>
    <w:rsid w:val="001A6248"/>
    <w:rsid w:val="001A7A74"/>
    <w:rsid w:val="001B008A"/>
    <w:rsid w:val="001B0376"/>
    <w:rsid w:val="001B11C3"/>
    <w:rsid w:val="001B396B"/>
    <w:rsid w:val="001C4EAB"/>
    <w:rsid w:val="001C6154"/>
    <w:rsid w:val="001D1C6F"/>
    <w:rsid w:val="001D2402"/>
    <w:rsid w:val="001D3983"/>
    <w:rsid w:val="001D3AAF"/>
    <w:rsid w:val="001D5EC2"/>
    <w:rsid w:val="001D75AA"/>
    <w:rsid w:val="001E10A2"/>
    <w:rsid w:val="001E21E2"/>
    <w:rsid w:val="001E28A7"/>
    <w:rsid w:val="001E5650"/>
    <w:rsid w:val="001F10A0"/>
    <w:rsid w:val="00201BE9"/>
    <w:rsid w:val="00203725"/>
    <w:rsid w:val="00203BE2"/>
    <w:rsid w:val="002052F4"/>
    <w:rsid w:val="0020567F"/>
    <w:rsid w:val="00212BD6"/>
    <w:rsid w:val="00216899"/>
    <w:rsid w:val="00217640"/>
    <w:rsid w:val="00220A67"/>
    <w:rsid w:val="00220A7E"/>
    <w:rsid w:val="00230A38"/>
    <w:rsid w:val="00231F51"/>
    <w:rsid w:val="00232166"/>
    <w:rsid w:val="00233C29"/>
    <w:rsid w:val="0023479C"/>
    <w:rsid w:val="002376D3"/>
    <w:rsid w:val="0024159D"/>
    <w:rsid w:val="00245517"/>
    <w:rsid w:val="002478AD"/>
    <w:rsid w:val="00247D02"/>
    <w:rsid w:val="00252100"/>
    <w:rsid w:val="00252112"/>
    <w:rsid w:val="00254D46"/>
    <w:rsid w:val="00255D14"/>
    <w:rsid w:val="00264A8C"/>
    <w:rsid w:val="00271669"/>
    <w:rsid w:val="00272C5A"/>
    <w:rsid w:val="00281514"/>
    <w:rsid w:val="002A08DF"/>
    <w:rsid w:val="002A2012"/>
    <w:rsid w:val="002A3ACA"/>
    <w:rsid w:val="002A5173"/>
    <w:rsid w:val="002A5B6A"/>
    <w:rsid w:val="002A6AA9"/>
    <w:rsid w:val="002B2BA7"/>
    <w:rsid w:val="002B2F3F"/>
    <w:rsid w:val="002B4044"/>
    <w:rsid w:val="002B44B2"/>
    <w:rsid w:val="002B58D1"/>
    <w:rsid w:val="002B5F26"/>
    <w:rsid w:val="002B64D2"/>
    <w:rsid w:val="002B747A"/>
    <w:rsid w:val="002C00FD"/>
    <w:rsid w:val="002C0AD9"/>
    <w:rsid w:val="002C4B25"/>
    <w:rsid w:val="002D2A2B"/>
    <w:rsid w:val="002D3006"/>
    <w:rsid w:val="002D577E"/>
    <w:rsid w:val="002D5F67"/>
    <w:rsid w:val="002D6134"/>
    <w:rsid w:val="002D68E3"/>
    <w:rsid w:val="002D7269"/>
    <w:rsid w:val="002E0139"/>
    <w:rsid w:val="002E1983"/>
    <w:rsid w:val="00300A6E"/>
    <w:rsid w:val="00300A89"/>
    <w:rsid w:val="00301F5C"/>
    <w:rsid w:val="0030206C"/>
    <w:rsid w:val="003028B7"/>
    <w:rsid w:val="00304DC7"/>
    <w:rsid w:val="00306896"/>
    <w:rsid w:val="00307387"/>
    <w:rsid w:val="0031110A"/>
    <w:rsid w:val="003116B8"/>
    <w:rsid w:val="00313F3C"/>
    <w:rsid w:val="00314027"/>
    <w:rsid w:val="00316B69"/>
    <w:rsid w:val="00320F4C"/>
    <w:rsid w:val="00321BD9"/>
    <w:rsid w:val="00323420"/>
    <w:rsid w:val="003242AE"/>
    <w:rsid w:val="00324BB7"/>
    <w:rsid w:val="00326106"/>
    <w:rsid w:val="00326135"/>
    <w:rsid w:val="00334F53"/>
    <w:rsid w:val="00335DD0"/>
    <w:rsid w:val="003373D6"/>
    <w:rsid w:val="00337559"/>
    <w:rsid w:val="00342B52"/>
    <w:rsid w:val="00344229"/>
    <w:rsid w:val="00344C2E"/>
    <w:rsid w:val="00347BFE"/>
    <w:rsid w:val="0035248A"/>
    <w:rsid w:val="0035373C"/>
    <w:rsid w:val="0035666B"/>
    <w:rsid w:val="00363CBD"/>
    <w:rsid w:val="0036464E"/>
    <w:rsid w:val="003711B7"/>
    <w:rsid w:val="00371D60"/>
    <w:rsid w:val="00373669"/>
    <w:rsid w:val="003750DC"/>
    <w:rsid w:val="00375576"/>
    <w:rsid w:val="00376785"/>
    <w:rsid w:val="003818AA"/>
    <w:rsid w:val="003849C5"/>
    <w:rsid w:val="00385271"/>
    <w:rsid w:val="00391734"/>
    <w:rsid w:val="0039174C"/>
    <w:rsid w:val="00391988"/>
    <w:rsid w:val="00392AE5"/>
    <w:rsid w:val="0039313F"/>
    <w:rsid w:val="00393752"/>
    <w:rsid w:val="003A2BDE"/>
    <w:rsid w:val="003A6A96"/>
    <w:rsid w:val="003A78FD"/>
    <w:rsid w:val="003B2C4C"/>
    <w:rsid w:val="003B7C74"/>
    <w:rsid w:val="003C1349"/>
    <w:rsid w:val="003C157D"/>
    <w:rsid w:val="003D205C"/>
    <w:rsid w:val="003D2FDB"/>
    <w:rsid w:val="003D4C3D"/>
    <w:rsid w:val="003D7607"/>
    <w:rsid w:val="003E07CB"/>
    <w:rsid w:val="003E0BB8"/>
    <w:rsid w:val="003E57C1"/>
    <w:rsid w:val="003E5F2E"/>
    <w:rsid w:val="003F2E61"/>
    <w:rsid w:val="003F3B05"/>
    <w:rsid w:val="003F5AD6"/>
    <w:rsid w:val="003F66FD"/>
    <w:rsid w:val="00400079"/>
    <w:rsid w:val="0040046C"/>
    <w:rsid w:val="00404AC1"/>
    <w:rsid w:val="0040515A"/>
    <w:rsid w:val="004058EB"/>
    <w:rsid w:val="004067C1"/>
    <w:rsid w:val="0041056C"/>
    <w:rsid w:val="0041200E"/>
    <w:rsid w:val="00415C66"/>
    <w:rsid w:val="0041667C"/>
    <w:rsid w:val="004175F1"/>
    <w:rsid w:val="004179A4"/>
    <w:rsid w:val="00420505"/>
    <w:rsid w:val="00420D4E"/>
    <w:rsid w:val="00424953"/>
    <w:rsid w:val="0042743A"/>
    <w:rsid w:val="00430A14"/>
    <w:rsid w:val="00431D4F"/>
    <w:rsid w:val="00436DCD"/>
    <w:rsid w:val="00440672"/>
    <w:rsid w:val="004408D7"/>
    <w:rsid w:val="004445FD"/>
    <w:rsid w:val="00444C1C"/>
    <w:rsid w:val="004464AF"/>
    <w:rsid w:val="004567D7"/>
    <w:rsid w:val="00461F28"/>
    <w:rsid w:val="00462ADA"/>
    <w:rsid w:val="00467E3D"/>
    <w:rsid w:val="00471244"/>
    <w:rsid w:val="0047522C"/>
    <w:rsid w:val="004778BF"/>
    <w:rsid w:val="00485D58"/>
    <w:rsid w:val="004870E3"/>
    <w:rsid w:val="00487D84"/>
    <w:rsid w:val="00490715"/>
    <w:rsid w:val="004969D9"/>
    <w:rsid w:val="004A07BB"/>
    <w:rsid w:val="004A0872"/>
    <w:rsid w:val="004A149D"/>
    <w:rsid w:val="004A34DC"/>
    <w:rsid w:val="004B2207"/>
    <w:rsid w:val="004B2B70"/>
    <w:rsid w:val="004B2EF8"/>
    <w:rsid w:val="004B4A05"/>
    <w:rsid w:val="004B51ED"/>
    <w:rsid w:val="004B520E"/>
    <w:rsid w:val="004B54B1"/>
    <w:rsid w:val="004B5D4F"/>
    <w:rsid w:val="004C3067"/>
    <w:rsid w:val="004C5A9A"/>
    <w:rsid w:val="004D0395"/>
    <w:rsid w:val="004D0A15"/>
    <w:rsid w:val="004D2426"/>
    <w:rsid w:val="004D3607"/>
    <w:rsid w:val="004D37C0"/>
    <w:rsid w:val="004D4A2C"/>
    <w:rsid w:val="004D5A0F"/>
    <w:rsid w:val="004D7B3F"/>
    <w:rsid w:val="004E268F"/>
    <w:rsid w:val="004E26F9"/>
    <w:rsid w:val="004E4A7D"/>
    <w:rsid w:val="004E72FF"/>
    <w:rsid w:val="004E74E4"/>
    <w:rsid w:val="004F234C"/>
    <w:rsid w:val="004F3FFC"/>
    <w:rsid w:val="004F4093"/>
    <w:rsid w:val="004F42C2"/>
    <w:rsid w:val="004F62ED"/>
    <w:rsid w:val="0050154A"/>
    <w:rsid w:val="00502C6A"/>
    <w:rsid w:val="00503721"/>
    <w:rsid w:val="00507E9F"/>
    <w:rsid w:val="00514382"/>
    <w:rsid w:val="00514E0B"/>
    <w:rsid w:val="00520285"/>
    <w:rsid w:val="00520478"/>
    <w:rsid w:val="00521687"/>
    <w:rsid w:val="00525F3F"/>
    <w:rsid w:val="005277A0"/>
    <w:rsid w:val="0053116B"/>
    <w:rsid w:val="00531687"/>
    <w:rsid w:val="00532D09"/>
    <w:rsid w:val="00533701"/>
    <w:rsid w:val="005338BD"/>
    <w:rsid w:val="00535B86"/>
    <w:rsid w:val="005363C5"/>
    <w:rsid w:val="00537421"/>
    <w:rsid w:val="00537CAE"/>
    <w:rsid w:val="00542B7A"/>
    <w:rsid w:val="0054530E"/>
    <w:rsid w:val="00545CF2"/>
    <w:rsid w:val="005516AA"/>
    <w:rsid w:val="00552BDC"/>
    <w:rsid w:val="0055585A"/>
    <w:rsid w:val="00556EB5"/>
    <w:rsid w:val="00557282"/>
    <w:rsid w:val="005635DF"/>
    <w:rsid w:val="00564C7B"/>
    <w:rsid w:val="0056625B"/>
    <w:rsid w:val="005734B1"/>
    <w:rsid w:val="00574DDA"/>
    <w:rsid w:val="005753ED"/>
    <w:rsid w:val="00577235"/>
    <w:rsid w:val="0057746C"/>
    <w:rsid w:val="005779C4"/>
    <w:rsid w:val="00580DBD"/>
    <w:rsid w:val="005822FB"/>
    <w:rsid w:val="00583746"/>
    <w:rsid w:val="00586206"/>
    <w:rsid w:val="0058774F"/>
    <w:rsid w:val="0059244C"/>
    <w:rsid w:val="005A413D"/>
    <w:rsid w:val="005A51CF"/>
    <w:rsid w:val="005A5F37"/>
    <w:rsid w:val="005B35CB"/>
    <w:rsid w:val="005B6F52"/>
    <w:rsid w:val="005C0FB1"/>
    <w:rsid w:val="005C34B4"/>
    <w:rsid w:val="005C3ED8"/>
    <w:rsid w:val="005C40C8"/>
    <w:rsid w:val="005C5BA1"/>
    <w:rsid w:val="005D2AC6"/>
    <w:rsid w:val="005D6CF4"/>
    <w:rsid w:val="005D7B36"/>
    <w:rsid w:val="005E08F8"/>
    <w:rsid w:val="005E2C57"/>
    <w:rsid w:val="005E2C7F"/>
    <w:rsid w:val="005E38FD"/>
    <w:rsid w:val="005E394B"/>
    <w:rsid w:val="005E52B6"/>
    <w:rsid w:val="005F2494"/>
    <w:rsid w:val="005F2857"/>
    <w:rsid w:val="005F2C46"/>
    <w:rsid w:val="005F485B"/>
    <w:rsid w:val="005F6F9F"/>
    <w:rsid w:val="00600DD9"/>
    <w:rsid w:val="006024D5"/>
    <w:rsid w:val="00603439"/>
    <w:rsid w:val="00605C6D"/>
    <w:rsid w:val="00606107"/>
    <w:rsid w:val="00606AEC"/>
    <w:rsid w:val="00611B5B"/>
    <w:rsid w:val="00613446"/>
    <w:rsid w:val="006144F0"/>
    <w:rsid w:val="006154E1"/>
    <w:rsid w:val="00616EDB"/>
    <w:rsid w:val="006220FA"/>
    <w:rsid w:val="00622AF6"/>
    <w:rsid w:val="006343B2"/>
    <w:rsid w:val="00636FEE"/>
    <w:rsid w:val="00637159"/>
    <w:rsid w:val="00637457"/>
    <w:rsid w:val="00641836"/>
    <w:rsid w:val="00644382"/>
    <w:rsid w:val="0064459F"/>
    <w:rsid w:val="0064553D"/>
    <w:rsid w:val="006510C0"/>
    <w:rsid w:val="00654214"/>
    <w:rsid w:val="00660A58"/>
    <w:rsid w:val="00661866"/>
    <w:rsid w:val="00662E42"/>
    <w:rsid w:val="0067026E"/>
    <w:rsid w:val="006768C5"/>
    <w:rsid w:val="006775E6"/>
    <w:rsid w:val="0068138A"/>
    <w:rsid w:val="00683B08"/>
    <w:rsid w:val="00683D34"/>
    <w:rsid w:val="00683F8D"/>
    <w:rsid w:val="00685CAB"/>
    <w:rsid w:val="0068727E"/>
    <w:rsid w:val="0069247C"/>
    <w:rsid w:val="006928C1"/>
    <w:rsid w:val="00692ACE"/>
    <w:rsid w:val="00692D8B"/>
    <w:rsid w:val="00697F4D"/>
    <w:rsid w:val="006A00A1"/>
    <w:rsid w:val="006A29F5"/>
    <w:rsid w:val="006B12AB"/>
    <w:rsid w:val="006B1A8A"/>
    <w:rsid w:val="006B4E35"/>
    <w:rsid w:val="006B7B2C"/>
    <w:rsid w:val="006C0DEE"/>
    <w:rsid w:val="006C120F"/>
    <w:rsid w:val="006C6979"/>
    <w:rsid w:val="006D36C0"/>
    <w:rsid w:val="006D4BAF"/>
    <w:rsid w:val="006D65F3"/>
    <w:rsid w:val="006E1578"/>
    <w:rsid w:val="006E2122"/>
    <w:rsid w:val="006F30BC"/>
    <w:rsid w:val="006F500D"/>
    <w:rsid w:val="006F5CE7"/>
    <w:rsid w:val="007003D6"/>
    <w:rsid w:val="0070196F"/>
    <w:rsid w:val="00702689"/>
    <w:rsid w:val="00702BE1"/>
    <w:rsid w:val="00704849"/>
    <w:rsid w:val="00706D70"/>
    <w:rsid w:val="00714480"/>
    <w:rsid w:val="00715720"/>
    <w:rsid w:val="00715C8C"/>
    <w:rsid w:val="00717FAA"/>
    <w:rsid w:val="00720468"/>
    <w:rsid w:val="00723740"/>
    <w:rsid w:val="007248BC"/>
    <w:rsid w:val="00724E23"/>
    <w:rsid w:val="007256CB"/>
    <w:rsid w:val="00730914"/>
    <w:rsid w:val="00730E30"/>
    <w:rsid w:val="00730E4F"/>
    <w:rsid w:val="007324F8"/>
    <w:rsid w:val="00733473"/>
    <w:rsid w:val="00734289"/>
    <w:rsid w:val="00735936"/>
    <w:rsid w:val="00735B07"/>
    <w:rsid w:val="00740D01"/>
    <w:rsid w:val="00740E29"/>
    <w:rsid w:val="007448C4"/>
    <w:rsid w:val="00744E08"/>
    <w:rsid w:val="00744EA7"/>
    <w:rsid w:val="00753163"/>
    <w:rsid w:val="007562F7"/>
    <w:rsid w:val="00756BE1"/>
    <w:rsid w:val="00756CAE"/>
    <w:rsid w:val="00763455"/>
    <w:rsid w:val="00770BC2"/>
    <w:rsid w:val="00771759"/>
    <w:rsid w:val="00771BF9"/>
    <w:rsid w:val="00773846"/>
    <w:rsid w:val="007738FB"/>
    <w:rsid w:val="00774AA0"/>
    <w:rsid w:val="00774E96"/>
    <w:rsid w:val="00774FCA"/>
    <w:rsid w:val="00782404"/>
    <w:rsid w:val="0078522D"/>
    <w:rsid w:val="00786620"/>
    <w:rsid w:val="007867B0"/>
    <w:rsid w:val="007901B1"/>
    <w:rsid w:val="00790F34"/>
    <w:rsid w:val="00791E58"/>
    <w:rsid w:val="00791F71"/>
    <w:rsid w:val="00792F0E"/>
    <w:rsid w:val="0079598E"/>
    <w:rsid w:val="007A43B9"/>
    <w:rsid w:val="007A7482"/>
    <w:rsid w:val="007A7BC9"/>
    <w:rsid w:val="007B358F"/>
    <w:rsid w:val="007C2B4B"/>
    <w:rsid w:val="007C37F4"/>
    <w:rsid w:val="007C46F0"/>
    <w:rsid w:val="007C4A81"/>
    <w:rsid w:val="007D0EF8"/>
    <w:rsid w:val="007D1DB9"/>
    <w:rsid w:val="007D22FF"/>
    <w:rsid w:val="007D3940"/>
    <w:rsid w:val="007D530F"/>
    <w:rsid w:val="007D7366"/>
    <w:rsid w:val="007D7C45"/>
    <w:rsid w:val="007E0CDB"/>
    <w:rsid w:val="007E0E08"/>
    <w:rsid w:val="007E29B7"/>
    <w:rsid w:val="007E505F"/>
    <w:rsid w:val="007E5FF7"/>
    <w:rsid w:val="007F11A7"/>
    <w:rsid w:val="007F4CB6"/>
    <w:rsid w:val="007F50D7"/>
    <w:rsid w:val="007F5FDF"/>
    <w:rsid w:val="007F696C"/>
    <w:rsid w:val="007F70B5"/>
    <w:rsid w:val="00800B87"/>
    <w:rsid w:val="008025B2"/>
    <w:rsid w:val="00802DB1"/>
    <w:rsid w:val="00810716"/>
    <w:rsid w:val="00810BCC"/>
    <w:rsid w:val="00812C65"/>
    <w:rsid w:val="00814572"/>
    <w:rsid w:val="008166CF"/>
    <w:rsid w:val="00817719"/>
    <w:rsid w:val="008218FA"/>
    <w:rsid w:val="00821FF2"/>
    <w:rsid w:val="008226D4"/>
    <w:rsid w:val="0082365A"/>
    <w:rsid w:val="00823B38"/>
    <w:rsid w:val="00825224"/>
    <w:rsid w:val="0082565B"/>
    <w:rsid w:val="008265A2"/>
    <w:rsid w:val="0083652C"/>
    <w:rsid w:val="00841FE8"/>
    <w:rsid w:val="008422EA"/>
    <w:rsid w:val="00842DA3"/>
    <w:rsid w:val="00843D24"/>
    <w:rsid w:val="008442EF"/>
    <w:rsid w:val="00847CBB"/>
    <w:rsid w:val="0085059B"/>
    <w:rsid w:val="0085085D"/>
    <w:rsid w:val="00851871"/>
    <w:rsid w:val="0085191A"/>
    <w:rsid w:val="00853AC5"/>
    <w:rsid w:val="0085555C"/>
    <w:rsid w:val="00856639"/>
    <w:rsid w:val="00860719"/>
    <w:rsid w:val="00861AB1"/>
    <w:rsid w:val="008630B5"/>
    <w:rsid w:val="008635E8"/>
    <w:rsid w:val="00863983"/>
    <w:rsid w:val="008640E7"/>
    <w:rsid w:val="00864115"/>
    <w:rsid w:val="0086451A"/>
    <w:rsid w:val="00864566"/>
    <w:rsid w:val="00865EEC"/>
    <w:rsid w:val="00867322"/>
    <w:rsid w:val="008674BF"/>
    <w:rsid w:val="0087033E"/>
    <w:rsid w:val="00872405"/>
    <w:rsid w:val="00872F08"/>
    <w:rsid w:val="00872FC9"/>
    <w:rsid w:val="00874DEB"/>
    <w:rsid w:val="0087545B"/>
    <w:rsid w:val="00877DCF"/>
    <w:rsid w:val="00886981"/>
    <w:rsid w:val="0088752F"/>
    <w:rsid w:val="00887B4E"/>
    <w:rsid w:val="00887E35"/>
    <w:rsid w:val="0089183A"/>
    <w:rsid w:val="00892364"/>
    <w:rsid w:val="0089293D"/>
    <w:rsid w:val="00892BF6"/>
    <w:rsid w:val="00892FFE"/>
    <w:rsid w:val="00893C70"/>
    <w:rsid w:val="00894659"/>
    <w:rsid w:val="008A08AB"/>
    <w:rsid w:val="008B0F99"/>
    <w:rsid w:val="008B3C82"/>
    <w:rsid w:val="008C3B5E"/>
    <w:rsid w:val="008C542F"/>
    <w:rsid w:val="008D2CD8"/>
    <w:rsid w:val="008D63B3"/>
    <w:rsid w:val="008E18D1"/>
    <w:rsid w:val="008F09CE"/>
    <w:rsid w:val="008F1331"/>
    <w:rsid w:val="008F146D"/>
    <w:rsid w:val="008F20BB"/>
    <w:rsid w:val="009031C8"/>
    <w:rsid w:val="00907333"/>
    <w:rsid w:val="009075F1"/>
    <w:rsid w:val="00911C7F"/>
    <w:rsid w:val="00912B72"/>
    <w:rsid w:val="009216DB"/>
    <w:rsid w:val="0092189D"/>
    <w:rsid w:val="0092239D"/>
    <w:rsid w:val="009272F0"/>
    <w:rsid w:val="009305D8"/>
    <w:rsid w:val="00930824"/>
    <w:rsid w:val="0093188C"/>
    <w:rsid w:val="00931E31"/>
    <w:rsid w:val="00933B1B"/>
    <w:rsid w:val="00936DB3"/>
    <w:rsid w:val="0094390D"/>
    <w:rsid w:val="00944278"/>
    <w:rsid w:val="00945799"/>
    <w:rsid w:val="0095029A"/>
    <w:rsid w:val="009506EF"/>
    <w:rsid w:val="00950857"/>
    <w:rsid w:val="00950B18"/>
    <w:rsid w:val="009511E0"/>
    <w:rsid w:val="009543FA"/>
    <w:rsid w:val="00955F1F"/>
    <w:rsid w:val="00961B9E"/>
    <w:rsid w:val="00961EA1"/>
    <w:rsid w:val="00963A49"/>
    <w:rsid w:val="009676EC"/>
    <w:rsid w:val="00967F24"/>
    <w:rsid w:val="009711C4"/>
    <w:rsid w:val="00972904"/>
    <w:rsid w:val="00975132"/>
    <w:rsid w:val="009811F6"/>
    <w:rsid w:val="00985B10"/>
    <w:rsid w:val="00991C08"/>
    <w:rsid w:val="00995B2C"/>
    <w:rsid w:val="0099603E"/>
    <w:rsid w:val="009971E0"/>
    <w:rsid w:val="009A0218"/>
    <w:rsid w:val="009A04A2"/>
    <w:rsid w:val="009B35C9"/>
    <w:rsid w:val="009B4E90"/>
    <w:rsid w:val="009B5F85"/>
    <w:rsid w:val="009C01DA"/>
    <w:rsid w:val="009C1E43"/>
    <w:rsid w:val="009C25B4"/>
    <w:rsid w:val="009C2946"/>
    <w:rsid w:val="009C3447"/>
    <w:rsid w:val="009C4580"/>
    <w:rsid w:val="009C53EF"/>
    <w:rsid w:val="009E1DFD"/>
    <w:rsid w:val="009E271B"/>
    <w:rsid w:val="009E4E16"/>
    <w:rsid w:val="009E7666"/>
    <w:rsid w:val="009F03AD"/>
    <w:rsid w:val="009F0F2A"/>
    <w:rsid w:val="009F3893"/>
    <w:rsid w:val="009F3F95"/>
    <w:rsid w:val="009F4E76"/>
    <w:rsid w:val="009F5A8E"/>
    <w:rsid w:val="009F7004"/>
    <w:rsid w:val="009F746E"/>
    <w:rsid w:val="009F7AED"/>
    <w:rsid w:val="00A00105"/>
    <w:rsid w:val="00A005FD"/>
    <w:rsid w:val="00A073D4"/>
    <w:rsid w:val="00A10578"/>
    <w:rsid w:val="00A11CB8"/>
    <w:rsid w:val="00A11E9C"/>
    <w:rsid w:val="00A131C4"/>
    <w:rsid w:val="00A13D61"/>
    <w:rsid w:val="00A22B30"/>
    <w:rsid w:val="00A264E3"/>
    <w:rsid w:val="00A26942"/>
    <w:rsid w:val="00A2698D"/>
    <w:rsid w:val="00A27A1C"/>
    <w:rsid w:val="00A328EE"/>
    <w:rsid w:val="00A32F0A"/>
    <w:rsid w:val="00A35184"/>
    <w:rsid w:val="00A364FB"/>
    <w:rsid w:val="00A414E3"/>
    <w:rsid w:val="00A426BD"/>
    <w:rsid w:val="00A50A25"/>
    <w:rsid w:val="00A5128D"/>
    <w:rsid w:val="00A515A1"/>
    <w:rsid w:val="00A5554E"/>
    <w:rsid w:val="00A5560D"/>
    <w:rsid w:val="00A60E1F"/>
    <w:rsid w:val="00A612F5"/>
    <w:rsid w:val="00A61AEF"/>
    <w:rsid w:val="00A630C8"/>
    <w:rsid w:val="00A6346B"/>
    <w:rsid w:val="00A67BAB"/>
    <w:rsid w:val="00A70248"/>
    <w:rsid w:val="00A70460"/>
    <w:rsid w:val="00A807D3"/>
    <w:rsid w:val="00A82D96"/>
    <w:rsid w:val="00A82DF9"/>
    <w:rsid w:val="00A838E5"/>
    <w:rsid w:val="00A84E2F"/>
    <w:rsid w:val="00A86AA4"/>
    <w:rsid w:val="00A86EFC"/>
    <w:rsid w:val="00A90239"/>
    <w:rsid w:val="00A9270A"/>
    <w:rsid w:val="00A92986"/>
    <w:rsid w:val="00A932A8"/>
    <w:rsid w:val="00A9353D"/>
    <w:rsid w:val="00A9506C"/>
    <w:rsid w:val="00A95ED7"/>
    <w:rsid w:val="00A9619F"/>
    <w:rsid w:val="00A96F46"/>
    <w:rsid w:val="00AA0B7B"/>
    <w:rsid w:val="00AA2E89"/>
    <w:rsid w:val="00AA7ABF"/>
    <w:rsid w:val="00AA7FD3"/>
    <w:rsid w:val="00AB4438"/>
    <w:rsid w:val="00AB724E"/>
    <w:rsid w:val="00AB75E6"/>
    <w:rsid w:val="00AC01AF"/>
    <w:rsid w:val="00AC12DD"/>
    <w:rsid w:val="00AC36DD"/>
    <w:rsid w:val="00AC5541"/>
    <w:rsid w:val="00AC6C1E"/>
    <w:rsid w:val="00AD3286"/>
    <w:rsid w:val="00AD4BB3"/>
    <w:rsid w:val="00AD7176"/>
    <w:rsid w:val="00AE06BB"/>
    <w:rsid w:val="00AE091F"/>
    <w:rsid w:val="00AE103B"/>
    <w:rsid w:val="00AE2052"/>
    <w:rsid w:val="00AE2E87"/>
    <w:rsid w:val="00AE5263"/>
    <w:rsid w:val="00AE6C4B"/>
    <w:rsid w:val="00AE7068"/>
    <w:rsid w:val="00AF1872"/>
    <w:rsid w:val="00AF6B1A"/>
    <w:rsid w:val="00AF6F2C"/>
    <w:rsid w:val="00B0073F"/>
    <w:rsid w:val="00B00D94"/>
    <w:rsid w:val="00B00EFD"/>
    <w:rsid w:val="00B03486"/>
    <w:rsid w:val="00B050A4"/>
    <w:rsid w:val="00B0577C"/>
    <w:rsid w:val="00B06497"/>
    <w:rsid w:val="00B152E1"/>
    <w:rsid w:val="00B16724"/>
    <w:rsid w:val="00B17AA6"/>
    <w:rsid w:val="00B21288"/>
    <w:rsid w:val="00B22CFA"/>
    <w:rsid w:val="00B26857"/>
    <w:rsid w:val="00B26A09"/>
    <w:rsid w:val="00B32A9C"/>
    <w:rsid w:val="00B37EB4"/>
    <w:rsid w:val="00B40FCF"/>
    <w:rsid w:val="00B4161E"/>
    <w:rsid w:val="00B46651"/>
    <w:rsid w:val="00B506B8"/>
    <w:rsid w:val="00B50D87"/>
    <w:rsid w:val="00B520FD"/>
    <w:rsid w:val="00B544D1"/>
    <w:rsid w:val="00B5590B"/>
    <w:rsid w:val="00B5660B"/>
    <w:rsid w:val="00B61160"/>
    <w:rsid w:val="00B6212A"/>
    <w:rsid w:val="00B64458"/>
    <w:rsid w:val="00B668FA"/>
    <w:rsid w:val="00B67671"/>
    <w:rsid w:val="00B71B51"/>
    <w:rsid w:val="00B7362A"/>
    <w:rsid w:val="00B7412E"/>
    <w:rsid w:val="00B761A3"/>
    <w:rsid w:val="00B76854"/>
    <w:rsid w:val="00B8056B"/>
    <w:rsid w:val="00B80BD4"/>
    <w:rsid w:val="00B817FD"/>
    <w:rsid w:val="00B81B16"/>
    <w:rsid w:val="00B876A9"/>
    <w:rsid w:val="00B91299"/>
    <w:rsid w:val="00B9370E"/>
    <w:rsid w:val="00B9414A"/>
    <w:rsid w:val="00B94B1E"/>
    <w:rsid w:val="00B94C64"/>
    <w:rsid w:val="00B95038"/>
    <w:rsid w:val="00B97207"/>
    <w:rsid w:val="00BB07E8"/>
    <w:rsid w:val="00BB0A85"/>
    <w:rsid w:val="00BC2B2A"/>
    <w:rsid w:val="00BC2FAF"/>
    <w:rsid w:val="00BC33A1"/>
    <w:rsid w:val="00BC4ACF"/>
    <w:rsid w:val="00BC4CA8"/>
    <w:rsid w:val="00BC4E4B"/>
    <w:rsid w:val="00BC5591"/>
    <w:rsid w:val="00BC6DF6"/>
    <w:rsid w:val="00BC7952"/>
    <w:rsid w:val="00BC7C2B"/>
    <w:rsid w:val="00BD2CE4"/>
    <w:rsid w:val="00BD5794"/>
    <w:rsid w:val="00BD7DEB"/>
    <w:rsid w:val="00BE2CC5"/>
    <w:rsid w:val="00BE6633"/>
    <w:rsid w:val="00BF3353"/>
    <w:rsid w:val="00BF3DFD"/>
    <w:rsid w:val="00BF591F"/>
    <w:rsid w:val="00C02AE4"/>
    <w:rsid w:val="00C06EA0"/>
    <w:rsid w:val="00C108C5"/>
    <w:rsid w:val="00C10D2D"/>
    <w:rsid w:val="00C112F8"/>
    <w:rsid w:val="00C14495"/>
    <w:rsid w:val="00C1481E"/>
    <w:rsid w:val="00C1631B"/>
    <w:rsid w:val="00C1661E"/>
    <w:rsid w:val="00C167DE"/>
    <w:rsid w:val="00C17E47"/>
    <w:rsid w:val="00C24B4E"/>
    <w:rsid w:val="00C27F42"/>
    <w:rsid w:val="00C27F48"/>
    <w:rsid w:val="00C3116F"/>
    <w:rsid w:val="00C32345"/>
    <w:rsid w:val="00C33982"/>
    <w:rsid w:val="00C36590"/>
    <w:rsid w:val="00C448F4"/>
    <w:rsid w:val="00C44BBE"/>
    <w:rsid w:val="00C460DE"/>
    <w:rsid w:val="00C4721A"/>
    <w:rsid w:val="00C50B5E"/>
    <w:rsid w:val="00C50F16"/>
    <w:rsid w:val="00C549A9"/>
    <w:rsid w:val="00C54A2C"/>
    <w:rsid w:val="00C559DE"/>
    <w:rsid w:val="00C610FF"/>
    <w:rsid w:val="00C62E05"/>
    <w:rsid w:val="00C62E89"/>
    <w:rsid w:val="00C657B3"/>
    <w:rsid w:val="00C67B81"/>
    <w:rsid w:val="00C67FF3"/>
    <w:rsid w:val="00C7083A"/>
    <w:rsid w:val="00C7441C"/>
    <w:rsid w:val="00C75447"/>
    <w:rsid w:val="00C76EA0"/>
    <w:rsid w:val="00C80E5C"/>
    <w:rsid w:val="00C86F5F"/>
    <w:rsid w:val="00C873F9"/>
    <w:rsid w:val="00C87CC1"/>
    <w:rsid w:val="00C91876"/>
    <w:rsid w:val="00C91949"/>
    <w:rsid w:val="00C938E3"/>
    <w:rsid w:val="00C966D6"/>
    <w:rsid w:val="00C96ED5"/>
    <w:rsid w:val="00C97ADC"/>
    <w:rsid w:val="00CA068A"/>
    <w:rsid w:val="00CA17A8"/>
    <w:rsid w:val="00CA6042"/>
    <w:rsid w:val="00CA635B"/>
    <w:rsid w:val="00CA7112"/>
    <w:rsid w:val="00CB070D"/>
    <w:rsid w:val="00CB1A2C"/>
    <w:rsid w:val="00CB29DD"/>
    <w:rsid w:val="00CB346B"/>
    <w:rsid w:val="00CC1434"/>
    <w:rsid w:val="00CC250D"/>
    <w:rsid w:val="00CC255A"/>
    <w:rsid w:val="00CC7E76"/>
    <w:rsid w:val="00CD0EBA"/>
    <w:rsid w:val="00CD4492"/>
    <w:rsid w:val="00CD59A5"/>
    <w:rsid w:val="00CE0604"/>
    <w:rsid w:val="00CE505D"/>
    <w:rsid w:val="00CE52EB"/>
    <w:rsid w:val="00CE5328"/>
    <w:rsid w:val="00CE62F4"/>
    <w:rsid w:val="00CF0A9B"/>
    <w:rsid w:val="00CF115B"/>
    <w:rsid w:val="00CF53FC"/>
    <w:rsid w:val="00CF6712"/>
    <w:rsid w:val="00D01A35"/>
    <w:rsid w:val="00D01E59"/>
    <w:rsid w:val="00D02777"/>
    <w:rsid w:val="00D04782"/>
    <w:rsid w:val="00D0545E"/>
    <w:rsid w:val="00D06080"/>
    <w:rsid w:val="00D11ED1"/>
    <w:rsid w:val="00D13969"/>
    <w:rsid w:val="00D139E3"/>
    <w:rsid w:val="00D14028"/>
    <w:rsid w:val="00D145BF"/>
    <w:rsid w:val="00D1618C"/>
    <w:rsid w:val="00D16938"/>
    <w:rsid w:val="00D223B9"/>
    <w:rsid w:val="00D22F5A"/>
    <w:rsid w:val="00D261EB"/>
    <w:rsid w:val="00D279A9"/>
    <w:rsid w:val="00D3107A"/>
    <w:rsid w:val="00D31E50"/>
    <w:rsid w:val="00D327ED"/>
    <w:rsid w:val="00D3349A"/>
    <w:rsid w:val="00D33AD9"/>
    <w:rsid w:val="00D34C4B"/>
    <w:rsid w:val="00D37579"/>
    <w:rsid w:val="00D44762"/>
    <w:rsid w:val="00D47917"/>
    <w:rsid w:val="00D5416F"/>
    <w:rsid w:val="00D5669C"/>
    <w:rsid w:val="00D601CC"/>
    <w:rsid w:val="00D61798"/>
    <w:rsid w:val="00D623AB"/>
    <w:rsid w:val="00D62568"/>
    <w:rsid w:val="00D636BE"/>
    <w:rsid w:val="00D704AF"/>
    <w:rsid w:val="00D71360"/>
    <w:rsid w:val="00D71FC7"/>
    <w:rsid w:val="00D7219D"/>
    <w:rsid w:val="00D72673"/>
    <w:rsid w:val="00D73A08"/>
    <w:rsid w:val="00D74A5A"/>
    <w:rsid w:val="00D75125"/>
    <w:rsid w:val="00D77345"/>
    <w:rsid w:val="00D773DA"/>
    <w:rsid w:val="00D77F8F"/>
    <w:rsid w:val="00D8288F"/>
    <w:rsid w:val="00D844A3"/>
    <w:rsid w:val="00D852BC"/>
    <w:rsid w:val="00D8725F"/>
    <w:rsid w:val="00D952E3"/>
    <w:rsid w:val="00D96C77"/>
    <w:rsid w:val="00D97105"/>
    <w:rsid w:val="00D97B20"/>
    <w:rsid w:val="00DA1E75"/>
    <w:rsid w:val="00DA34F5"/>
    <w:rsid w:val="00DA4124"/>
    <w:rsid w:val="00DA742F"/>
    <w:rsid w:val="00DB09A7"/>
    <w:rsid w:val="00DB0FD2"/>
    <w:rsid w:val="00DB333B"/>
    <w:rsid w:val="00DB3B6B"/>
    <w:rsid w:val="00DB4BDC"/>
    <w:rsid w:val="00DB4F3E"/>
    <w:rsid w:val="00DC1F1E"/>
    <w:rsid w:val="00DC3271"/>
    <w:rsid w:val="00DC335B"/>
    <w:rsid w:val="00DC42A5"/>
    <w:rsid w:val="00DC4364"/>
    <w:rsid w:val="00DC46D0"/>
    <w:rsid w:val="00DC4A48"/>
    <w:rsid w:val="00DC6608"/>
    <w:rsid w:val="00DC72AA"/>
    <w:rsid w:val="00DD5EF5"/>
    <w:rsid w:val="00DE0542"/>
    <w:rsid w:val="00DE2237"/>
    <w:rsid w:val="00DE2944"/>
    <w:rsid w:val="00DE60C4"/>
    <w:rsid w:val="00DE629B"/>
    <w:rsid w:val="00DE6DEF"/>
    <w:rsid w:val="00DF60FD"/>
    <w:rsid w:val="00E016A9"/>
    <w:rsid w:val="00E04261"/>
    <w:rsid w:val="00E07E5C"/>
    <w:rsid w:val="00E15B01"/>
    <w:rsid w:val="00E17FE2"/>
    <w:rsid w:val="00E201AA"/>
    <w:rsid w:val="00E20407"/>
    <w:rsid w:val="00E20AD3"/>
    <w:rsid w:val="00E21F18"/>
    <w:rsid w:val="00E25710"/>
    <w:rsid w:val="00E302EA"/>
    <w:rsid w:val="00E31D48"/>
    <w:rsid w:val="00E322A6"/>
    <w:rsid w:val="00E32D38"/>
    <w:rsid w:val="00E345B0"/>
    <w:rsid w:val="00E3589D"/>
    <w:rsid w:val="00E368D3"/>
    <w:rsid w:val="00E36EF0"/>
    <w:rsid w:val="00E4148F"/>
    <w:rsid w:val="00E42538"/>
    <w:rsid w:val="00E42585"/>
    <w:rsid w:val="00E43634"/>
    <w:rsid w:val="00E43C55"/>
    <w:rsid w:val="00E44A40"/>
    <w:rsid w:val="00E45B5E"/>
    <w:rsid w:val="00E46A21"/>
    <w:rsid w:val="00E46BC4"/>
    <w:rsid w:val="00E50647"/>
    <w:rsid w:val="00E51506"/>
    <w:rsid w:val="00E54DB0"/>
    <w:rsid w:val="00E55BE5"/>
    <w:rsid w:val="00E57550"/>
    <w:rsid w:val="00E6009A"/>
    <w:rsid w:val="00E602B8"/>
    <w:rsid w:val="00E635DB"/>
    <w:rsid w:val="00E76706"/>
    <w:rsid w:val="00E76EF6"/>
    <w:rsid w:val="00E77433"/>
    <w:rsid w:val="00E83891"/>
    <w:rsid w:val="00E90C4E"/>
    <w:rsid w:val="00E93DC3"/>
    <w:rsid w:val="00E94C46"/>
    <w:rsid w:val="00E94C97"/>
    <w:rsid w:val="00EA0FFF"/>
    <w:rsid w:val="00EA25B6"/>
    <w:rsid w:val="00EA545E"/>
    <w:rsid w:val="00EA5536"/>
    <w:rsid w:val="00EA66F4"/>
    <w:rsid w:val="00EB010B"/>
    <w:rsid w:val="00EB7A9E"/>
    <w:rsid w:val="00EC0D01"/>
    <w:rsid w:val="00EC0D6A"/>
    <w:rsid w:val="00EC149A"/>
    <w:rsid w:val="00EC2E51"/>
    <w:rsid w:val="00EC3F97"/>
    <w:rsid w:val="00EC6F39"/>
    <w:rsid w:val="00EC76A2"/>
    <w:rsid w:val="00ED308A"/>
    <w:rsid w:val="00ED46DA"/>
    <w:rsid w:val="00ED4B01"/>
    <w:rsid w:val="00EE0697"/>
    <w:rsid w:val="00EE1959"/>
    <w:rsid w:val="00EE29A8"/>
    <w:rsid w:val="00EE3DE0"/>
    <w:rsid w:val="00EE6F1A"/>
    <w:rsid w:val="00EF0434"/>
    <w:rsid w:val="00EF250C"/>
    <w:rsid w:val="00EF3F23"/>
    <w:rsid w:val="00EF4DA0"/>
    <w:rsid w:val="00F017A8"/>
    <w:rsid w:val="00F01EE5"/>
    <w:rsid w:val="00F03840"/>
    <w:rsid w:val="00F038EC"/>
    <w:rsid w:val="00F05124"/>
    <w:rsid w:val="00F0537E"/>
    <w:rsid w:val="00F06449"/>
    <w:rsid w:val="00F127F4"/>
    <w:rsid w:val="00F12E8B"/>
    <w:rsid w:val="00F1505E"/>
    <w:rsid w:val="00F1527D"/>
    <w:rsid w:val="00F15A88"/>
    <w:rsid w:val="00F15F6D"/>
    <w:rsid w:val="00F16863"/>
    <w:rsid w:val="00F16990"/>
    <w:rsid w:val="00F1755B"/>
    <w:rsid w:val="00F30935"/>
    <w:rsid w:val="00F318D3"/>
    <w:rsid w:val="00F33C46"/>
    <w:rsid w:val="00F3409F"/>
    <w:rsid w:val="00F3731A"/>
    <w:rsid w:val="00F37722"/>
    <w:rsid w:val="00F37988"/>
    <w:rsid w:val="00F37E9A"/>
    <w:rsid w:val="00F428B2"/>
    <w:rsid w:val="00F45A69"/>
    <w:rsid w:val="00F50177"/>
    <w:rsid w:val="00F52542"/>
    <w:rsid w:val="00F52FA6"/>
    <w:rsid w:val="00F53627"/>
    <w:rsid w:val="00F579E4"/>
    <w:rsid w:val="00F62E4B"/>
    <w:rsid w:val="00F640CD"/>
    <w:rsid w:val="00F6454D"/>
    <w:rsid w:val="00F659E1"/>
    <w:rsid w:val="00F66078"/>
    <w:rsid w:val="00F70FF0"/>
    <w:rsid w:val="00F72C6F"/>
    <w:rsid w:val="00F73499"/>
    <w:rsid w:val="00F7364D"/>
    <w:rsid w:val="00F74DC0"/>
    <w:rsid w:val="00F753D8"/>
    <w:rsid w:val="00F8124D"/>
    <w:rsid w:val="00F8373A"/>
    <w:rsid w:val="00F86F12"/>
    <w:rsid w:val="00F87480"/>
    <w:rsid w:val="00F90366"/>
    <w:rsid w:val="00F90C09"/>
    <w:rsid w:val="00F917A9"/>
    <w:rsid w:val="00F91FC7"/>
    <w:rsid w:val="00F922B8"/>
    <w:rsid w:val="00F9256F"/>
    <w:rsid w:val="00F9556E"/>
    <w:rsid w:val="00F969C0"/>
    <w:rsid w:val="00FA1DFB"/>
    <w:rsid w:val="00FA71ED"/>
    <w:rsid w:val="00FB2935"/>
    <w:rsid w:val="00FB2AB9"/>
    <w:rsid w:val="00FB4820"/>
    <w:rsid w:val="00FB50A8"/>
    <w:rsid w:val="00FB6571"/>
    <w:rsid w:val="00FB6796"/>
    <w:rsid w:val="00FC0147"/>
    <w:rsid w:val="00FC1A7D"/>
    <w:rsid w:val="00FC2C7C"/>
    <w:rsid w:val="00FC328C"/>
    <w:rsid w:val="00FC7874"/>
    <w:rsid w:val="00FD7329"/>
    <w:rsid w:val="00FE1695"/>
    <w:rsid w:val="00FE2DBB"/>
    <w:rsid w:val="00FE429E"/>
    <w:rsid w:val="00FE6713"/>
    <w:rsid w:val="00FE6D09"/>
    <w:rsid w:val="00FE7EF3"/>
    <w:rsid w:val="00FF1E28"/>
    <w:rsid w:val="00FF1E8C"/>
    <w:rsid w:val="00FF4A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a22f1e"/>
    </o:shapedefaults>
    <o:shapelayout v:ext="edit">
      <o:idmap v:ext="edit" data="1"/>
    </o:shapelayout>
  </w:shapeDefaults>
  <w:decimalSymbol w:val="."/>
  <w:listSeparator w:val=","/>
  <w14:docId w14:val="3FDCBC11"/>
  <w15:docId w15:val="{414CAF79-1263-41E7-B1A9-440347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EE"/>
    <w:rPr>
      <w:rFonts w:ascii="Arial" w:hAnsi="Arial"/>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nhideWhenUsed/>
    <w:qFormat/>
    <w:rsid w:val="00FE2DBB"/>
    <w:pPr>
      <w:spacing w:before="480" w:after="240" w:line="280" w:lineRule="exact"/>
      <w:outlineLvl w:val="2"/>
    </w:pPr>
    <w:rPr>
      <w:rFonts w:eastAsia="Calibri"/>
      <w:b/>
      <w:color w:val="AF292E"/>
      <w:szCs w:val="32"/>
      <w:lang w:eastAsia="en-US"/>
    </w:rPr>
  </w:style>
  <w:style w:type="paragraph" w:styleId="Heading4">
    <w:name w:val="heading 4"/>
    <w:basedOn w:val="Normal"/>
    <w:next w:val="Normal"/>
    <w:link w:val="Heading4Char"/>
    <w:qFormat/>
    <w:rsid w:val="005E2C7F"/>
    <w:pPr>
      <w:keepNext/>
      <w:spacing w:after="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rsid w:val="00FE2DBB"/>
    <w:rPr>
      <w:rFonts w:ascii="Arial" w:eastAsia="Calibri" w:hAnsi="Arial"/>
      <w:b/>
      <w:color w:val="AF292E"/>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nhideWhenUsed/>
    <w:locked/>
    <w:rsid w:val="007003D6"/>
    <w:pPr>
      <w:tabs>
        <w:tab w:val="center" w:pos="4513"/>
        <w:tab w:val="right" w:pos="9026"/>
      </w:tabs>
      <w:spacing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7003D6"/>
    <w:rPr>
      <w:rFonts w:ascii="Arial" w:hAnsi="Arial"/>
      <w:color w:val="AF292E"/>
      <w:sz w:val="24"/>
      <w:u w:val="single"/>
    </w:rPr>
  </w:style>
  <w:style w:type="paragraph" w:customStyle="1" w:styleId="CSHRBodyText">
    <w:name w:val="CSHR Body Text"/>
    <w:basedOn w:val="Normal"/>
    <w:rsid w:val="00F03840"/>
    <w:pPr>
      <w:spacing w:after="240"/>
    </w:pPr>
    <w:rPr>
      <w:color w:val="000000"/>
      <w:szCs w:val="20"/>
    </w:rPr>
  </w:style>
  <w:style w:type="paragraph" w:styleId="CommentText">
    <w:name w:val="annotation text"/>
    <w:basedOn w:val="Normal"/>
    <w:link w:val="CommentTextChar"/>
    <w:semiHidden/>
    <w:unhideWhenUsed/>
    <w:rsid w:val="0085085D"/>
    <w:pPr>
      <w:spacing w:after="240"/>
    </w:pPr>
    <w:rPr>
      <w:sz w:val="20"/>
      <w:szCs w:val="20"/>
    </w:rPr>
  </w:style>
  <w:style w:type="character" w:customStyle="1" w:styleId="CommentTextChar">
    <w:name w:val="Comment Text Char"/>
    <w:link w:val="CommentText"/>
    <w:semiHidden/>
    <w:rsid w:val="0085085D"/>
    <w:rPr>
      <w:rFonts w:ascii="Arial" w:hAnsi="Arial"/>
    </w:rPr>
  </w:style>
  <w:style w:type="paragraph" w:styleId="BalloonText">
    <w:name w:val="Balloon Text"/>
    <w:basedOn w:val="Normal"/>
    <w:link w:val="BalloonTextChar"/>
    <w:semiHidden/>
    <w:unhideWhenUsed/>
    <w:rsid w:val="0085085D"/>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ListBullet2">
    <w:name w:val="List Bullet 2"/>
    <w:basedOn w:val="Normal"/>
    <w:autoRedefine/>
    <w:rsid w:val="0053116B"/>
    <w:pPr>
      <w:numPr>
        <w:numId w:val="13"/>
      </w:numPr>
      <w:tabs>
        <w:tab w:val="left" w:pos="4668"/>
      </w:tabs>
      <w:spacing w:before="120" w:after="240"/>
    </w:pPr>
  </w:style>
  <w:style w:type="paragraph" w:styleId="ListBullet5">
    <w:name w:val="List Bullet 5"/>
    <w:basedOn w:val="Normal"/>
    <w:unhideWhenUsed/>
    <w:rsid w:val="005E2C7F"/>
    <w:pPr>
      <w:numPr>
        <w:numId w:val="1"/>
      </w:numPr>
      <w:contextualSpacing/>
    </w:pPr>
  </w:style>
  <w:style w:type="character" w:customStyle="1" w:styleId="Heading4Char">
    <w:name w:val="Heading 4 Char"/>
    <w:basedOn w:val="DefaultParagraphFont"/>
    <w:link w:val="Heading4"/>
    <w:rsid w:val="005E2C7F"/>
    <w:rPr>
      <w:rFonts w:ascii="Arial" w:hAnsi="Arial"/>
      <w:b/>
      <w:bCs/>
      <w:sz w:val="24"/>
      <w:szCs w:val="28"/>
    </w:rPr>
  </w:style>
  <w:style w:type="character" w:styleId="PageNumber">
    <w:name w:val="page number"/>
    <w:basedOn w:val="DefaultParagraphFont"/>
    <w:rsid w:val="005E2C7F"/>
  </w:style>
  <w:style w:type="paragraph" w:styleId="ListNumber">
    <w:name w:val="List Number"/>
    <w:basedOn w:val="Normal"/>
    <w:rsid w:val="005E2C7F"/>
    <w:pPr>
      <w:numPr>
        <w:numId w:val="5"/>
      </w:numPr>
      <w:tabs>
        <w:tab w:val="left" w:pos="720"/>
      </w:tabs>
      <w:spacing w:before="240" w:after="240"/>
    </w:pPr>
  </w:style>
  <w:style w:type="table" w:styleId="TableGrid">
    <w:name w:val="Table Grid"/>
    <w:basedOn w:val="TableNormal"/>
    <w:uiPriority w:val="39"/>
    <w:rsid w:val="005E2C7F"/>
    <w:pPr>
      <w:spacing w:before="120"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 Bold"/>
    <w:basedOn w:val="Normal"/>
    <w:link w:val="NormalBoldChar"/>
    <w:rsid w:val="005E2C7F"/>
    <w:pPr>
      <w:spacing w:after="240"/>
    </w:pPr>
    <w:rPr>
      <w:b/>
    </w:rPr>
  </w:style>
  <w:style w:type="character" w:customStyle="1" w:styleId="NormalBoldChar">
    <w:name w:val="Normal Bold Char"/>
    <w:link w:val="NormalBold"/>
    <w:rsid w:val="005E2C7F"/>
    <w:rPr>
      <w:rFonts w:ascii="Arial" w:hAnsi="Arial"/>
      <w:b/>
      <w:sz w:val="24"/>
      <w:szCs w:val="24"/>
    </w:rPr>
  </w:style>
  <w:style w:type="character" w:styleId="FollowedHyperlink">
    <w:name w:val="FollowedHyperlink"/>
    <w:rsid w:val="005E2C7F"/>
    <w:rPr>
      <w:color w:val="800080"/>
      <w:u w:val="single"/>
    </w:rPr>
  </w:style>
  <w:style w:type="paragraph" w:styleId="ListBullet">
    <w:name w:val="List Bullet"/>
    <w:basedOn w:val="Normal"/>
    <w:autoRedefine/>
    <w:rsid w:val="005E2C7F"/>
    <w:pPr>
      <w:numPr>
        <w:numId w:val="2"/>
      </w:numPr>
      <w:spacing w:after="120"/>
      <w:ind w:left="357" w:hanging="357"/>
    </w:pPr>
  </w:style>
  <w:style w:type="paragraph" w:styleId="TOC2">
    <w:name w:val="toc 2"/>
    <w:basedOn w:val="Normal"/>
    <w:next w:val="Normal"/>
    <w:autoRedefine/>
    <w:uiPriority w:val="39"/>
    <w:rsid w:val="00CE505D"/>
    <w:pPr>
      <w:tabs>
        <w:tab w:val="right" w:leader="dot" w:pos="10478"/>
      </w:tabs>
      <w:ind w:left="240"/>
    </w:pPr>
  </w:style>
  <w:style w:type="paragraph" w:styleId="TOC1">
    <w:name w:val="toc 1"/>
    <w:basedOn w:val="Normal"/>
    <w:next w:val="Normal"/>
    <w:autoRedefine/>
    <w:semiHidden/>
    <w:rsid w:val="005E2C7F"/>
    <w:pPr>
      <w:spacing w:after="240"/>
    </w:pPr>
  </w:style>
  <w:style w:type="paragraph" w:styleId="CommentSubject">
    <w:name w:val="annotation subject"/>
    <w:basedOn w:val="CommentText"/>
    <w:next w:val="CommentText"/>
    <w:link w:val="CommentSubjectChar"/>
    <w:semiHidden/>
    <w:rsid w:val="005E2C7F"/>
    <w:rPr>
      <w:b/>
      <w:bCs/>
    </w:rPr>
  </w:style>
  <w:style w:type="character" w:customStyle="1" w:styleId="CommentSubjectChar">
    <w:name w:val="Comment Subject Char"/>
    <w:basedOn w:val="CommentTextChar"/>
    <w:link w:val="CommentSubject"/>
    <w:semiHidden/>
    <w:rsid w:val="005E2C7F"/>
    <w:rPr>
      <w:rFonts w:ascii="Arial" w:hAnsi="Arial"/>
      <w:b/>
      <w:bCs/>
    </w:rPr>
  </w:style>
  <w:style w:type="paragraph" w:styleId="NormalWeb">
    <w:name w:val="Normal (Web)"/>
    <w:basedOn w:val="Normal"/>
    <w:semiHidden/>
    <w:rsid w:val="005E2C7F"/>
    <w:pPr>
      <w:spacing w:before="100" w:beforeAutospacing="1" w:after="100" w:afterAutospacing="1"/>
    </w:pPr>
    <w:rPr>
      <w:rFonts w:ascii="Times New Roman" w:eastAsia="Calibri" w:hAnsi="Times New Roman"/>
    </w:rPr>
  </w:style>
  <w:style w:type="paragraph" w:styleId="ListBullet3">
    <w:name w:val="List Bullet 3"/>
    <w:basedOn w:val="Normal"/>
    <w:autoRedefine/>
    <w:rsid w:val="005E2C7F"/>
    <w:pPr>
      <w:numPr>
        <w:numId w:val="3"/>
      </w:numPr>
      <w:spacing w:after="240"/>
    </w:pPr>
    <w:rPr>
      <w:lang w:val="en"/>
    </w:rPr>
  </w:style>
  <w:style w:type="paragraph" w:styleId="ListBullet4">
    <w:name w:val="List Bullet 4"/>
    <w:basedOn w:val="Normal"/>
    <w:autoRedefine/>
    <w:rsid w:val="005E2C7F"/>
    <w:pPr>
      <w:numPr>
        <w:numId w:val="4"/>
      </w:numPr>
      <w:spacing w:after="240"/>
    </w:pPr>
  </w:style>
  <w:style w:type="paragraph" w:styleId="ListContinue">
    <w:name w:val="List Continue"/>
    <w:basedOn w:val="Normal"/>
    <w:rsid w:val="005E2C7F"/>
    <w:pPr>
      <w:spacing w:after="120"/>
      <w:ind w:left="284"/>
    </w:pPr>
  </w:style>
  <w:style w:type="paragraph" w:styleId="MessageHeader">
    <w:name w:val="Message Header"/>
    <w:basedOn w:val="Normal"/>
    <w:link w:val="MessageHeaderChar"/>
    <w:rsid w:val="005E2C7F"/>
    <w:pPr>
      <w:pBdr>
        <w:top w:val="single" w:sz="6" w:space="1" w:color="auto"/>
        <w:left w:val="single" w:sz="6" w:space="1" w:color="auto"/>
        <w:bottom w:val="single" w:sz="6" w:space="1" w:color="auto"/>
        <w:right w:val="single" w:sz="6" w:space="1" w:color="auto"/>
      </w:pBdr>
      <w:shd w:val="pct20" w:color="auto" w:fill="auto"/>
      <w:spacing w:after="240"/>
      <w:ind w:left="1134" w:hanging="1134"/>
    </w:pPr>
    <w:rPr>
      <w:rFonts w:cs="Arial"/>
    </w:rPr>
  </w:style>
  <w:style w:type="character" w:customStyle="1" w:styleId="MessageHeaderChar">
    <w:name w:val="Message Header Char"/>
    <w:basedOn w:val="DefaultParagraphFont"/>
    <w:link w:val="MessageHeader"/>
    <w:rsid w:val="005E2C7F"/>
    <w:rPr>
      <w:rFonts w:ascii="Arial" w:hAnsi="Arial" w:cs="Arial"/>
      <w:sz w:val="24"/>
      <w:szCs w:val="24"/>
      <w:shd w:val="pct20" w:color="auto" w:fill="auto"/>
    </w:rPr>
  </w:style>
  <w:style w:type="paragraph" w:styleId="ListNumber5">
    <w:name w:val="List Number 5"/>
    <w:basedOn w:val="Normal"/>
    <w:rsid w:val="005E2C7F"/>
    <w:pPr>
      <w:numPr>
        <w:numId w:val="6"/>
      </w:numPr>
      <w:spacing w:after="240"/>
    </w:pPr>
  </w:style>
  <w:style w:type="paragraph" w:styleId="ListParagraph">
    <w:name w:val="List Paragraph"/>
    <w:basedOn w:val="Normal"/>
    <w:link w:val="ListParagraphChar"/>
    <w:uiPriority w:val="34"/>
    <w:qFormat/>
    <w:rsid w:val="005E2C7F"/>
    <w:pPr>
      <w:spacing w:after="240"/>
      <w:ind w:left="720"/>
    </w:pPr>
  </w:style>
  <w:style w:type="character" w:customStyle="1" w:styleId="StyleBlack">
    <w:name w:val="Style Black"/>
    <w:rsid w:val="005E2C7F"/>
    <w:rPr>
      <w:rFonts w:ascii="Arial" w:hAnsi="Arial"/>
      <w:color w:val="000000"/>
      <w:sz w:val="28"/>
    </w:rPr>
  </w:style>
  <w:style w:type="paragraph" w:styleId="BodyText3">
    <w:name w:val="Body Text 3"/>
    <w:basedOn w:val="Normal"/>
    <w:link w:val="BodyText3Char"/>
    <w:rsid w:val="005E2C7F"/>
    <w:pPr>
      <w:spacing w:after="120"/>
    </w:pPr>
    <w:rPr>
      <w:sz w:val="16"/>
      <w:szCs w:val="16"/>
    </w:rPr>
  </w:style>
  <w:style w:type="character" w:customStyle="1" w:styleId="BodyText3Char">
    <w:name w:val="Body Text 3 Char"/>
    <w:basedOn w:val="DefaultParagraphFont"/>
    <w:link w:val="BodyText3"/>
    <w:rsid w:val="005E2C7F"/>
    <w:rPr>
      <w:rFonts w:ascii="Arial" w:hAnsi="Arial"/>
      <w:sz w:val="16"/>
      <w:szCs w:val="16"/>
    </w:rPr>
  </w:style>
  <w:style w:type="paragraph" w:styleId="TOC3">
    <w:name w:val="toc 3"/>
    <w:basedOn w:val="Normal"/>
    <w:next w:val="Normal"/>
    <w:autoRedefine/>
    <w:uiPriority w:val="39"/>
    <w:semiHidden/>
    <w:unhideWhenUsed/>
    <w:rsid w:val="00DC46D0"/>
    <w:pPr>
      <w:spacing w:after="100"/>
      <w:ind w:left="480"/>
    </w:pPr>
  </w:style>
  <w:style w:type="paragraph" w:customStyle="1" w:styleId="Questions">
    <w:name w:val="Questions"/>
    <w:basedOn w:val="Heading4"/>
    <w:rsid w:val="00C44BBE"/>
    <w:pPr>
      <w:numPr>
        <w:numId w:val="11"/>
      </w:numPr>
      <w:tabs>
        <w:tab w:val="clear" w:pos="360"/>
        <w:tab w:val="num" w:pos="720"/>
      </w:tabs>
      <w:ind w:left="720" w:hanging="720"/>
    </w:pPr>
  </w:style>
  <w:style w:type="paragraph" w:customStyle="1" w:styleId="Answers">
    <w:name w:val="Answers"/>
    <w:basedOn w:val="Normal"/>
    <w:rsid w:val="00C44BBE"/>
    <w:pPr>
      <w:spacing w:after="240"/>
      <w:ind w:left="720"/>
    </w:pPr>
  </w:style>
  <w:style w:type="paragraph" w:styleId="NoSpacing">
    <w:name w:val="No Spacing"/>
    <w:uiPriority w:val="1"/>
    <w:qFormat/>
    <w:rsid w:val="00002A9C"/>
    <w:rPr>
      <w:rFonts w:ascii="Arial" w:hAnsi="Arial"/>
    </w:rPr>
  </w:style>
  <w:style w:type="paragraph" w:styleId="Revision">
    <w:name w:val="Revision"/>
    <w:hidden/>
    <w:uiPriority w:val="99"/>
    <w:semiHidden/>
    <w:rsid w:val="009C2946"/>
    <w:rPr>
      <w:rFonts w:ascii="Arial" w:hAnsi="Arial"/>
    </w:rPr>
  </w:style>
  <w:style w:type="character" w:styleId="IntenseReference">
    <w:name w:val="Intense Reference"/>
    <w:basedOn w:val="DefaultParagraphFont"/>
    <w:uiPriority w:val="32"/>
    <w:qFormat/>
    <w:rsid w:val="004445FD"/>
    <w:rPr>
      <w:b/>
      <w:bCs/>
      <w:smallCaps/>
      <w:color w:val="C0504D" w:themeColor="accent2"/>
      <w:spacing w:val="5"/>
      <w:u w:val="single"/>
    </w:rPr>
  </w:style>
  <w:style w:type="character" w:styleId="SubtleReference">
    <w:name w:val="Subtle Reference"/>
    <w:basedOn w:val="DefaultParagraphFont"/>
    <w:uiPriority w:val="31"/>
    <w:qFormat/>
    <w:rsid w:val="004445FD"/>
    <w:rPr>
      <w:smallCaps/>
      <w:color w:val="C0504D" w:themeColor="accent2"/>
      <w:u w:val="single"/>
    </w:rPr>
  </w:style>
  <w:style w:type="paragraph" w:styleId="TOCHeading">
    <w:name w:val="TOC Heading"/>
    <w:basedOn w:val="Heading1"/>
    <w:next w:val="Normal"/>
    <w:uiPriority w:val="39"/>
    <w:semiHidden/>
    <w:unhideWhenUsed/>
    <w:qFormat/>
    <w:rsid w:val="003A2BDE"/>
    <w:pPr>
      <w:keepNext/>
      <w:keepLines/>
      <w:spacing w:after="0" w:line="240" w:lineRule="auto"/>
      <w:outlineLvl w:val="9"/>
    </w:pPr>
    <w:rPr>
      <w:rFonts w:asciiTheme="majorHAnsi" w:eastAsiaTheme="majorEastAsia" w:hAnsiTheme="majorHAnsi" w:cstheme="majorBidi"/>
      <w:b/>
      <w:bCs/>
      <w:color w:val="365F91" w:themeColor="accent1" w:themeShade="BF"/>
      <w:sz w:val="28"/>
      <w:szCs w:val="28"/>
      <w:lang w:eastAsia="en-GB"/>
    </w:rPr>
  </w:style>
  <w:style w:type="character" w:customStyle="1" w:styleId="ListParagraphChar">
    <w:name w:val="List Paragraph Char"/>
    <w:link w:val="ListParagraph"/>
    <w:uiPriority w:val="34"/>
    <w:rsid w:val="003A2BDE"/>
    <w:rPr>
      <w:rFonts w:ascii="Arial" w:hAnsi="Arial"/>
    </w:rPr>
  </w:style>
  <w:style w:type="paragraph" w:styleId="Title">
    <w:name w:val="Title"/>
    <w:basedOn w:val="Heading1"/>
    <w:next w:val="Normal"/>
    <w:link w:val="TitleChar"/>
    <w:uiPriority w:val="10"/>
    <w:qFormat/>
    <w:rsid w:val="003A2BDE"/>
    <w:pPr>
      <w:spacing w:before="0" w:after="200" w:line="360" w:lineRule="auto"/>
      <w:jc w:val="center"/>
    </w:pPr>
    <w:rPr>
      <w:rFonts w:eastAsiaTheme="minorHAnsi" w:cs="Arial"/>
      <w:b/>
      <w:color w:val="7B4497"/>
      <w:kern w:val="24"/>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character" w:customStyle="1" w:styleId="TitleChar">
    <w:name w:val="Title Char"/>
    <w:basedOn w:val="DefaultParagraphFont"/>
    <w:link w:val="Title"/>
    <w:uiPriority w:val="10"/>
    <w:rsid w:val="003A2BDE"/>
    <w:rPr>
      <w:rFonts w:ascii="Arial" w:eastAsiaTheme="minorHAnsi" w:hAnsi="Arial" w:cs="Arial"/>
      <w:b/>
      <w:color w:val="7B4497"/>
      <w:kern w:val="24"/>
      <w:sz w:val="40"/>
      <w:szCs w:val="40"/>
      <w:lang w:eastAsia="en-US"/>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paragraph" w:customStyle="1" w:styleId="Default">
    <w:name w:val="Default"/>
    <w:rsid w:val="003A2BDE"/>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746">
      <w:bodyDiv w:val="1"/>
      <w:marLeft w:val="0"/>
      <w:marRight w:val="0"/>
      <w:marTop w:val="0"/>
      <w:marBottom w:val="0"/>
      <w:divBdr>
        <w:top w:val="none" w:sz="0" w:space="0" w:color="auto"/>
        <w:left w:val="none" w:sz="0" w:space="0" w:color="auto"/>
        <w:bottom w:val="none" w:sz="0" w:space="0" w:color="auto"/>
        <w:right w:val="none" w:sz="0" w:space="0" w:color="auto"/>
      </w:divBdr>
    </w:div>
    <w:div w:id="946279765">
      <w:bodyDiv w:val="1"/>
      <w:marLeft w:val="0"/>
      <w:marRight w:val="0"/>
      <w:marTop w:val="0"/>
      <w:marBottom w:val="0"/>
      <w:divBdr>
        <w:top w:val="none" w:sz="0" w:space="0" w:color="auto"/>
        <w:left w:val="none" w:sz="0" w:space="0" w:color="auto"/>
        <w:bottom w:val="none" w:sz="0" w:space="0" w:color="auto"/>
        <w:right w:val="none" w:sz="0" w:space="0" w:color="auto"/>
      </w:divBdr>
      <w:divsChild>
        <w:div w:id="1434740795">
          <w:marLeft w:val="0"/>
          <w:marRight w:val="0"/>
          <w:marTop w:val="0"/>
          <w:marBottom w:val="0"/>
          <w:divBdr>
            <w:top w:val="none" w:sz="0" w:space="0" w:color="auto"/>
            <w:left w:val="none" w:sz="0" w:space="0" w:color="auto"/>
            <w:bottom w:val="none" w:sz="0" w:space="0" w:color="auto"/>
            <w:right w:val="none" w:sz="0" w:space="0" w:color="auto"/>
          </w:divBdr>
          <w:divsChild>
            <w:div w:id="1259406702">
              <w:marLeft w:val="0"/>
              <w:marRight w:val="0"/>
              <w:marTop w:val="0"/>
              <w:marBottom w:val="0"/>
              <w:divBdr>
                <w:top w:val="none" w:sz="0" w:space="0" w:color="auto"/>
                <w:left w:val="none" w:sz="0" w:space="0" w:color="auto"/>
                <w:bottom w:val="none" w:sz="0" w:space="0" w:color="auto"/>
                <w:right w:val="none" w:sz="0" w:space="0" w:color="auto"/>
              </w:divBdr>
              <w:divsChild>
                <w:div w:id="1499419052">
                  <w:marLeft w:val="0"/>
                  <w:marRight w:val="0"/>
                  <w:marTop w:val="0"/>
                  <w:marBottom w:val="0"/>
                  <w:divBdr>
                    <w:top w:val="none" w:sz="0" w:space="0" w:color="auto"/>
                    <w:left w:val="none" w:sz="0" w:space="0" w:color="auto"/>
                    <w:bottom w:val="none" w:sz="0" w:space="0" w:color="auto"/>
                    <w:right w:val="none" w:sz="0" w:space="0" w:color="auto"/>
                  </w:divBdr>
                  <w:divsChild>
                    <w:div w:id="1571425376">
                      <w:marLeft w:val="0"/>
                      <w:marRight w:val="0"/>
                      <w:marTop w:val="0"/>
                      <w:marBottom w:val="0"/>
                      <w:divBdr>
                        <w:top w:val="none" w:sz="0" w:space="0" w:color="auto"/>
                        <w:left w:val="none" w:sz="0" w:space="0" w:color="auto"/>
                        <w:bottom w:val="none" w:sz="0" w:space="0" w:color="auto"/>
                        <w:right w:val="none" w:sz="0" w:space="0" w:color="auto"/>
                      </w:divBdr>
                      <w:divsChild>
                        <w:div w:id="1130365110">
                          <w:marLeft w:val="150"/>
                          <w:marRight w:val="150"/>
                          <w:marTop w:val="0"/>
                          <w:marBottom w:val="0"/>
                          <w:divBdr>
                            <w:top w:val="none" w:sz="0" w:space="0" w:color="auto"/>
                            <w:left w:val="none" w:sz="0" w:space="0" w:color="auto"/>
                            <w:bottom w:val="none" w:sz="0" w:space="0" w:color="auto"/>
                            <w:right w:val="none" w:sz="0" w:space="0" w:color="auto"/>
                          </w:divBdr>
                          <w:divsChild>
                            <w:div w:id="1104766591">
                              <w:marLeft w:val="0"/>
                              <w:marRight w:val="0"/>
                              <w:marTop w:val="0"/>
                              <w:marBottom w:val="0"/>
                              <w:divBdr>
                                <w:top w:val="none" w:sz="0" w:space="0" w:color="auto"/>
                                <w:left w:val="none" w:sz="0" w:space="0" w:color="auto"/>
                                <w:bottom w:val="none" w:sz="0" w:space="0" w:color="auto"/>
                                <w:right w:val="none" w:sz="0" w:space="0" w:color="auto"/>
                              </w:divBdr>
                              <w:divsChild>
                                <w:div w:id="828638847">
                                  <w:marLeft w:val="0"/>
                                  <w:marRight w:val="0"/>
                                  <w:marTop w:val="0"/>
                                  <w:marBottom w:val="0"/>
                                  <w:divBdr>
                                    <w:top w:val="none" w:sz="0" w:space="0" w:color="auto"/>
                                    <w:left w:val="none" w:sz="0" w:space="0" w:color="auto"/>
                                    <w:bottom w:val="none" w:sz="0" w:space="0" w:color="auto"/>
                                    <w:right w:val="none" w:sz="0" w:space="0" w:color="auto"/>
                                  </w:divBdr>
                                  <w:divsChild>
                                    <w:div w:id="1975596304">
                                      <w:marLeft w:val="0"/>
                                      <w:marRight w:val="0"/>
                                      <w:marTop w:val="0"/>
                                      <w:marBottom w:val="0"/>
                                      <w:divBdr>
                                        <w:top w:val="none" w:sz="0" w:space="0" w:color="auto"/>
                                        <w:left w:val="none" w:sz="0" w:space="0" w:color="auto"/>
                                        <w:bottom w:val="none" w:sz="0" w:space="0" w:color="auto"/>
                                        <w:right w:val="none" w:sz="0" w:space="0" w:color="auto"/>
                                      </w:divBdr>
                                      <w:divsChild>
                                        <w:div w:id="1651058173">
                                          <w:marLeft w:val="0"/>
                                          <w:marRight w:val="0"/>
                                          <w:marTop w:val="0"/>
                                          <w:marBottom w:val="0"/>
                                          <w:divBdr>
                                            <w:top w:val="none" w:sz="0" w:space="0" w:color="auto"/>
                                            <w:left w:val="none" w:sz="0" w:space="0" w:color="auto"/>
                                            <w:bottom w:val="none" w:sz="0" w:space="0" w:color="auto"/>
                                            <w:right w:val="none" w:sz="0" w:space="0" w:color="auto"/>
                                          </w:divBdr>
                                          <w:divsChild>
                                            <w:div w:id="2012752368">
                                              <w:marLeft w:val="0"/>
                                              <w:marRight w:val="0"/>
                                              <w:marTop w:val="0"/>
                                              <w:marBottom w:val="0"/>
                                              <w:divBdr>
                                                <w:top w:val="none" w:sz="0" w:space="0" w:color="auto"/>
                                                <w:left w:val="none" w:sz="0" w:space="0" w:color="auto"/>
                                                <w:bottom w:val="none" w:sz="0" w:space="0" w:color="auto"/>
                                                <w:right w:val="none" w:sz="0" w:space="0" w:color="auto"/>
                                              </w:divBdr>
                                              <w:divsChild>
                                                <w:div w:id="1822849092">
                                                  <w:marLeft w:val="0"/>
                                                  <w:marRight w:val="0"/>
                                                  <w:marTop w:val="0"/>
                                                  <w:marBottom w:val="0"/>
                                                  <w:divBdr>
                                                    <w:top w:val="none" w:sz="0" w:space="0" w:color="auto"/>
                                                    <w:left w:val="none" w:sz="0" w:space="0" w:color="auto"/>
                                                    <w:bottom w:val="none" w:sz="0" w:space="0" w:color="auto"/>
                                                    <w:right w:val="none" w:sz="0" w:space="0" w:color="auto"/>
                                                  </w:divBdr>
                                                  <w:divsChild>
                                                    <w:div w:id="1287811907">
                                                      <w:marLeft w:val="0"/>
                                                      <w:marRight w:val="0"/>
                                                      <w:marTop w:val="0"/>
                                                      <w:marBottom w:val="240"/>
                                                      <w:divBdr>
                                                        <w:top w:val="none" w:sz="0" w:space="0" w:color="auto"/>
                                                        <w:left w:val="none" w:sz="0" w:space="0" w:color="auto"/>
                                                        <w:bottom w:val="none" w:sz="0" w:space="0" w:color="auto"/>
                                                        <w:right w:val="none" w:sz="0" w:space="0" w:color="auto"/>
                                                      </w:divBdr>
                                                      <w:divsChild>
                                                        <w:div w:id="1818958124">
                                                          <w:marLeft w:val="0"/>
                                                          <w:marRight w:val="0"/>
                                                          <w:marTop w:val="0"/>
                                                          <w:marBottom w:val="0"/>
                                                          <w:divBdr>
                                                            <w:top w:val="none" w:sz="0" w:space="0" w:color="auto"/>
                                                            <w:left w:val="none" w:sz="0" w:space="0" w:color="auto"/>
                                                            <w:bottom w:val="none" w:sz="0" w:space="0" w:color="auto"/>
                                                            <w:right w:val="none" w:sz="0" w:space="0" w:color="auto"/>
                                                          </w:divBdr>
                                                          <w:divsChild>
                                                            <w:div w:id="1091659552">
                                                              <w:marLeft w:val="0"/>
                                                              <w:marRight w:val="0"/>
                                                              <w:marTop w:val="0"/>
                                                              <w:marBottom w:val="0"/>
                                                              <w:divBdr>
                                                                <w:top w:val="none" w:sz="0" w:space="0" w:color="auto"/>
                                                                <w:left w:val="none" w:sz="0" w:space="0" w:color="auto"/>
                                                                <w:bottom w:val="none" w:sz="0" w:space="0" w:color="auto"/>
                                                                <w:right w:val="none" w:sz="0" w:space="0" w:color="auto"/>
                                                              </w:divBdr>
                                                              <w:divsChild>
                                                                <w:div w:id="1912428228">
                                                                  <w:marLeft w:val="0"/>
                                                                  <w:marRight w:val="0"/>
                                                                  <w:marTop w:val="0"/>
                                                                  <w:marBottom w:val="0"/>
                                                                  <w:divBdr>
                                                                    <w:top w:val="none" w:sz="0" w:space="0" w:color="auto"/>
                                                                    <w:left w:val="none" w:sz="0" w:space="0" w:color="auto"/>
                                                                    <w:bottom w:val="none" w:sz="0" w:space="0" w:color="auto"/>
                                                                    <w:right w:val="none" w:sz="0" w:space="0" w:color="auto"/>
                                                                  </w:divBdr>
                                                                  <w:divsChild>
                                                                    <w:div w:id="682902422">
                                                                      <w:marLeft w:val="0"/>
                                                                      <w:marRight w:val="0"/>
                                                                      <w:marTop w:val="0"/>
                                                                      <w:marBottom w:val="0"/>
                                                                      <w:divBdr>
                                                                        <w:top w:val="none" w:sz="0" w:space="0" w:color="auto"/>
                                                                        <w:left w:val="none" w:sz="0" w:space="0" w:color="auto"/>
                                                                        <w:bottom w:val="none" w:sz="0" w:space="0" w:color="auto"/>
                                                                        <w:right w:val="none" w:sz="0" w:space="0" w:color="auto"/>
                                                                      </w:divBdr>
                                                                      <w:divsChild>
                                                                        <w:div w:id="1984768734">
                                                                          <w:marLeft w:val="0"/>
                                                                          <w:marRight w:val="0"/>
                                                                          <w:marTop w:val="0"/>
                                                                          <w:marBottom w:val="0"/>
                                                                          <w:divBdr>
                                                                            <w:top w:val="none" w:sz="0" w:space="0" w:color="auto"/>
                                                                            <w:left w:val="none" w:sz="0" w:space="0" w:color="auto"/>
                                                                            <w:bottom w:val="none" w:sz="0" w:space="0" w:color="auto"/>
                                                                            <w:right w:val="none" w:sz="0" w:space="0" w:color="auto"/>
                                                                          </w:divBdr>
                                                                          <w:divsChild>
                                                                            <w:div w:id="935212886">
                                                                              <w:marLeft w:val="0"/>
                                                                              <w:marRight w:val="0"/>
                                                                              <w:marTop w:val="0"/>
                                                                              <w:marBottom w:val="0"/>
                                                                              <w:divBdr>
                                                                                <w:top w:val="none" w:sz="0" w:space="0" w:color="auto"/>
                                                                                <w:left w:val="none" w:sz="0" w:space="0" w:color="auto"/>
                                                                                <w:bottom w:val="none" w:sz="0" w:space="0" w:color="auto"/>
                                                                                <w:right w:val="none" w:sz="0" w:space="0" w:color="auto"/>
                                                                              </w:divBdr>
                                                                              <w:divsChild>
                                                                                <w:div w:id="2031563504">
                                                                                  <w:marLeft w:val="0"/>
                                                                                  <w:marRight w:val="0"/>
                                                                                  <w:marTop w:val="0"/>
                                                                                  <w:marBottom w:val="300"/>
                                                                                  <w:divBdr>
                                                                                    <w:top w:val="none" w:sz="0" w:space="0" w:color="auto"/>
                                                                                    <w:left w:val="none" w:sz="0" w:space="0" w:color="auto"/>
                                                                                    <w:bottom w:val="none" w:sz="0" w:space="0" w:color="auto"/>
                                                                                    <w:right w:val="none" w:sz="0" w:space="0" w:color="auto"/>
                                                                                  </w:divBdr>
                                                                                  <w:divsChild>
                                                                                    <w:div w:id="1719039754">
                                                                                      <w:marLeft w:val="0"/>
                                                                                      <w:marRight w:val="0"/>
                                                                                      <w:marTop w:val="0"/>
                                                                                      <w:marBottom w:val="0"/>
                                                                                      <w:divBdr>
                                                                                        <w:top w:val="none" w:sz="0" w:space="0" w:color="auto"/>
                                                                                        <w:left w:val="none" w:sz="0" w:space="0" w:color="auto"/>
                                                                                        <w:bottom w:val="none" w:sz="0" w:space="0" w:color="auto"/>
                                                                                        <w:right w:val="none" w:sz="0" w:space="0" w:color="auto"/>
                                                                                      </w:divBdr>
                                                                                      <w:divsChild>
                                                                                        <w:div w:id="14353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97104">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743425">
      <w:bodyDiv w:val="1"/>
      <w:marLeft w:val="0"/>
      <w:marRight w:val="0"/>
      <w:marTop w:val="0"/>
      <w:marBottom w:val="0"/>
      <w:divBdr>
        <w:top w:val="none" w:sz="0" w:space="0" w:color="auto"/>
        <w:left w:val="none" w:sz="0" w:space="0" w:color="auto"/>
        <w:bottom w:val="none" w:sz="0" w:space="0" w:color="auto"/>
        <w:right w:val="none" w:sz="0" w:space="0" w:color="auto"/>
      </w:divBdr>
      <w:divsChild>
        <w:div w:id="775291637">
          <w:marLeft w:val="0"/>
          <w:marRight w:val="0"/>
          <w:marTop w:val="0"/>
          <w:marBottom w:val="0"/>
          <w:divBdr>
            <w:top w:val="none" w:sz="0" w:space="0" w:color="auto"/>
            <w:left w:val="none" w:sz="0" w:space="0" w:color="auto"/>
            <w:bottom w:val="none" w:sz="0" w:space="0" w:color="auto"/>
            <w:right w:val="none" w:sz="0" w:space="0" w:color="auto"/>
          </w:divBdr>
        </w:div>
        <w:div w:id="2075811656">
          <w:marLeft w:val="0"/>
          <w:marRight w:val="0"/>
          <w:marTop w:val="0"/>
          <w:marBottom w:val="0"/>
          <w:divBdr>
            <w:top w:val="none" w:sz="0" w:space="0" w:color="auto"/>
            <w:left w:val="none" w:sz="0" w:space="0" w:color="auto"/>
            <w:bottom w:val="none" w:sz="0" w:space="0" w:color="auto"/>
            <w:right w:val="none" w:sz="0" w:space="0" w:color="auto"/>
          </w:divBdr>
        </w:div>
      </w:divsChild>
    </w:div>
    <w:div w:id="2066374288">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ementtoworkschemeadmin1@dwp.gsi.gov.uk" TargetMode="External"/><Relationship Id="rId13" Type="http://schemas.openxmlformats.org/officeDocument/2006/relationships/hyperlink" Target="https://getinvolved.dwp.gov.uk/hr/522e38c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vilservicejob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ity-r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vementto.workschemeadmin1@dwp.gsi.gov.uk" TargetMode="External"/><Relationship Id="rId23" Type="http://schemas.openxmlformats.org/officeDocument/2006/relationships/fontTable" Target="fontTable.xml"/><Relationship Id="rId10" Type="http://schemas.openxmlformats.org/officeDocument/2006/relationships/hyperlink" Target="http://civilservicecommission.independent.gov.uk/civil-service-recruit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legislation/hswa.htm" TargetMode="External"/><Relationship Id="rId14" Type="http://schemas.openxmlformats.org/officeDocument/2006/relationships/hyperlink" Target="http://www.s2sacademy.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BF11-3374-4F4E-92B9-D98310D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4374</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Hodges Andrew CS EMPLOYEE POLICY LEEDS</dc:creator>
  <cp:lastModifiedBy>Josephs Charlotte DWP HR STRATEGY</cp:lastModifiedBy>
  <cp:revision>5</cp:revision>
  <cp:lastPrinted>2018-09-07T13:40:00Z</cp:lastPrinted>
  <dcterms:created xsi:type="dcterms:W3CDTF">2018-11-28T10:59:00Z</dcterms:created>
  <dcterms:modified xsi:type="dcterms:W3CDTF">2018-12-21T15:25:00Z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450955558</vt:i4>
  </property>
  <property fmtid="{D5CDD505-2E9C-101B-9397-08002B2CF9AE}" pid="17" name="_EmailSubject">
    <vt:lpwstr>SMYE Products Review</vt:lpwstr>
  </property>
  <property fmtid="{D5CDD505-2E9C-101B-9397-08002B2CF9AE}" pid="18" name="_AuthorEmail">
    <vt:lpwstr>KAREN.DARLEY@DWP.GSI.GOV.UK</vt:lpwstr>
  </property>
  <property fmtid="{D5CDD505-2E9C-101B-9397-08002B2CF9AE}" pid="19" name="_AuthorEmailDisplayName">
    <vt:lpwstr>Darley Karen DWP HR SKILLS &amp; CAPABILITY GROUP</vt:lpwstr>
  </property>
  <property fmtid="{D5CDD505-2E9C-101B-9397-08002B2CF9AE}" pid="20" name="_PreviousAdHocReviewCycleID">
    <vt:i4>509473122</vt:i4>
  </property>
  <property fmtid="{D5CDD505-2E9C-101B-9397-08002B2CF9AE}" pid="21" name="_ReviewingToolsShownOnce">
    <vt:lpwstr/>
  </property>
</Properties>
</file>