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C9E" w:rsidRPr="008135EC" w:rsidRDefault="00A55814">
      <w:pPr>
        <w:rPr>
          <w:noProof/>
          <w:sz w:val="22"/>
          <w:lang w:eastAsia="en-GB"/>
        </w:rPr>
      </w:pPr>
      <w:r w:rsidRPr="008135EC">
        <w:rPr>
          <w:noProof/>
          <w:sz w:val="22"/>
          <w:lang w:eastAsia="en-GB"/>
        </w:rPr>
        <w:drawing>
          <wp:anchor distT="0" distB="0" distL="114300" distR="114300" simplePos="0" relativeHeight="251681792" behindDoc="0" locked="0" layoutInCell="1" allowOverlap="1" wp14:anchorId="7390A7E0" wp14:editId="0F852C9F">
            <wp:simplePos x="0" y="0"/>
            <wp:positionH relativeFrom="column">
              <wp:posOffset>3312733</wp:posOffset>
            </wp:positionH>
            <wp:positionV relativeFrom="paragraph">
              <wp:posOffset>-914399</wp:posOffset>
            </wp:positionV>
            <wp:extent cx="3326726" cy="140970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281" cy="1412478"/>
                    </a:xfrm>
                    <a:prstGeom prst="rect">
                      <a:avLst/>
                    </a:prstGeom>
                  </pic:spPr>
                </pic:pic>
              </a:graphicData>
            </a:graphic>
            <wp14:sizeRelH relativeFrom="page">
              <wp14:pctWidth>0</wp14:pctWidth>
            </wp14:sizeRelH>
            <wp14:sizeRelV relativeFrom="page">
              <wp14:pctHeight>0</wp14:pctHeight>
            </wp14:sizeRelV>
          </wp:anchor>
        </w:drawing>
      </w:r>
    </w:p>
    <w:p w:rsidR="00D70B35" w:rsidRPr="008135EC" w:rsidRDefault="00D70B35">
      <w:pPr>
        <w:rPr>
          <w:sz w:val="22"/>
        </w:rPr>
      </w:pPr>
    </w:p>
    <w:p w:rsidR="00762895" w:rsidRPr="008135EC" w:rsidRDefault="00762895" w:rsidP="00762895">
      <w:pPr>
        <w:pStyle w:val="Heading1"/>
        <w:spacing w:before="0"/>
        <w:jc w:val="center"/>
        <w:rPr>
          <w:rFonts w:ascii="Arial" w:hAnsi="Arial" w:cs="Arial"/>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pPr>
      <w:r w:rsidRPr="008135EC">
        <w:rPr>
          <w:rFonts w:ascii="Arial" w:hAnsi="Arial" w:cs="Arial"/>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t>Guide to designing your</w:t>
      </w:r>
    </w:p>
    <w:p w:rsidR="00762895" w:rsidRPr="008135EC" w:rsidRDefault="00762895" w:rsidP="00762895">
      <w:pPr>
        <w:pStyle w:val="Heading1"/>
        <w:spacing w:before="0"/>
        <w:jc w:val="center"/>
        <w:rPr>
          <w:rFonts w:ascii="Arial" w:hAnsi="Arial" w:cs="Arial"/>
          <w:color w:val="7B4497"/>
          <w:sz w:val="40"/>
          <w:szCs w:val="40"/>
          <w14:textOutline w14:w="12700" w14:cap="flat" w14:cmpd="sng" w14:algn="ctr">
            <w14:noFill/>
            <w14:prstDash w14:val="solid"/>
            <w14:round/>
          </w14:textOutline>
        </w:rPr>
      </w:pPr>
      <w:r w:rsidRPr="008135EC">
        <w:rPr>
          <w:rFonts w:ascii="Arial" w:hAnsi="Arial" w:cs="Arial"/>
          <w:color w:val="7B4497"/>
          <w:sz w:val="40"/>
          <w:szCs w:val="40"/>
          <w14:shadow w14:blurRad="50800" w14:dist="38100" w14:dir="0" w14:sx="100000" w14:sy="100000" w14:kx="0" w14:ky="0" w14:algn="l">
            <w14:srgbClr w14:val="000000">
              <w14:alpha w14:val="60000"/>
            </w14:srgbClr>
          </w14:shadow>
          <w14:textOutline w14:w="12700" w14:cap="flat" w14:cmpd="sng" w14:algn="ctr">
            <w14:noFill/>
            <w14:prstDash w14:val="solid"/>
            <w14:round/>
          </w14:textOutline>
        </w:rPr>
        <w:t>Work Experience Opportunity</w:t>
      </w:r>
    </w:p>
    <w:p w:rsidR="00762895" w:rsidRPr="008135EC" w:rsidRDefault="00762895" w:rsidP="00762895">
      <w:pPr>
        <w:rPr>
          <w:sz w:val="16"/>
        </w:rPr>
      </w:pPr>
    </w:p>
    <w:p w:rsidR="00762895" w:rsidRPr="008135EC" w:rsidRDefault="00762895" w:rsidP="00762895">
      <w:pPr>
        <w:rPr>
          <w:rFonts w:cs="Arial"/>
          <w:b/>
          <w:szCs w:val="28"/>
        </w:rPr>
      </w:pPr>
      <w:r w:rsidRPr="008135EC">
        <w:rPr>
          <w:rFonts w:cs="Arial"/>
          <w:b/>
          <w:szCs w:val="28"/>
        </w:rPr>
        <w:t xml:space="preserve">5 Key Skills </w:t>
      </w:r>
    </w:p>
    <w:p w:rsidR="00762895" w:rsidRPr="008135EC" w:rsidRDefault="00762895" w:rsidP="00762895">
      <w:pPr>
        <w:rPr>
          <w:rFonts w:cs="Arial"/>
          <w:sz w:val="22"/>
          <w:szCs w:val="24"/>
        </w:rPr>
      </w:pPr>
      <w:r w:rsidRPr="008135EC">
        <w:rPr>
          <w:rFonts w:cs="Arial"/>
          <w:sz w:val="22"/>
          <w:szCs w:val="24"/>
        </w:rPr>
        <w:t xml:space="preserve">The purpose of a Work Experience Opportunity is to improve the employability of participants. In a survey taken by employers, the </w:t>
      </w:r>
      <w:r w:rsidR="003150AA" w:rsidRPr="008135EC">
        <w:rPr>
          <w:rFonts w:cs="Arial"/>
          <w:sz w:val="22"/>
          <w:szCs w:val="24"/>
        </w:rPr>
        <w:t>lack of 5 essential skills was</w:t>
      </w:r>
      <w:r w:rsidRPr="008135EC">
        <w:rPr>
          <w:rFonts w:cs="Arial"/>
          <w:sz w:val="22"/>
          <w:szCs w:val="24"/>
        </w:rPr>
        <w:t xml:space="preserve"> highlighted as being the main reason that young people were unprepared for work. During the work experience opportunity, your activities should aim to develop the </w:t>
      </w:r>
      <w:r w:rsidR="003150AA" w:rsidRPr="008135EC">
        <w:rPr>
          <w:rFonts w:cs="Arial"/>
          <w:sz w:val="22"/>
          <w:szCs w:val="24"/>
        </w:rPr>
        <w:t>participants’</w:t>
      </w:r>
      <w:r w:rsidRPr="008135EC">
        <w:rPr>
          <w:rFonts w:cs="Arial"/>
          <w:sz w:val="22"/>
          <w:szCs w:val="24"/>
        </w:rPr>
        <w:t xml:space="preserve"> skillset in these key areas:</w:t>
      </w:r>
    </w:p>
    <w:p w:rsidR="00762895" w:rsidRPr="008135EC" w:rsidRDefault="00762895" w:rsidP="008135EC">
      <w:pPr>
        <w:pStyle w:val="ListParagraph"/>
        <w:numPr>
          <w:ilvl w:val="0"/>
          <w:numId w:val="8"/>
        </w:numPr>
        <w:rPr>
          <w:rFonts w:cs="Arial"/>
          <w:sz w:val="22"/>
          <w:szCs w:val="24"/>
        </w:rPr>
      </w:pPr>
      <w:r w:rsidRPr="008135EC">
        <w:rPr>
          <w:rFonts w:cs="Arial"/>
          <w:sz w:val="22"/>
          <w:szCs w:val="24"/>
        </w:rPr>
        <w:t>Resilience</w:t>
      </w:r>
    </w:p>
    <w:p w:rsidR="00762895" w:rsidRPr="008135EC" w:rsidRDefault="00762895" w:rsidP="008135EC">
      <w:pPr>
        <w:pStyle w:val="ListParagraph"/>
        <w:numPr>
          <w:ilvl w:val="0"/>
          <w:numId w:val="8"/>
        </w:numPr>
        <w:rPr>
          <w:rFonts w:cs="Arial"/>
          <w:sz w:val="22"/>
          <w:szCs w:val="24"/>
        </w:rPr>
      </w:pPr>
      <w:r w:rsidRPr="008135EC">
        <w:rPr>
          <w:rFonts w:cs="Arial"/>
          <w:sz w:val="22"/>
          <w:szCs w:val="24"/>
        </w:rPr>
        <w:t>Time Management</w:t>
      </w:r>
    </w:p>
    <w:p w:rsidR="00762895" w:rsidRPr="008135EC" w:rsidRDefault="00762895" w:rsidP="008135EC">
      <w:pPr>
        <w:pStyle w:val="ListParagraph"/>
        <w:numPr>
          <w:ilvl w:val="0"/>
          <w:numId w:val="8"/>
        </w:numPr>
        <w:rPr>
          <w:rFonts w:cs="Arial"/>
          <w:sz w:val="22"/>
          <w:szCs w:val="24"/>
        </w:rPr>
      </w:pPr>
      <w:r w:rsidRPr="008135EC">
        <w:rPr>
          <w:rFonts w:cs="Arial"/>
          <w:sz w:val="22"/>
          <w:szCs w:val="24"/>
        </w:rPr>
        <w:t>Organisational</w:t>
      </w:r>
    </w:p>
    <w:p w:rsidR="00762895" w:rsidRPr="008135EC" w:rsidRDefault="00762895" w:rsidP="008135EC">
      <w:pPr>
        <w:pStyle w:val="ListParagraph"/>
        <w:numPr>
          <w:ilvl w:val="0"/>
          <w:numId w:val="8"/>
        </w:numPr>
        <w:rPr>
          <w:rFonts w:cs="Arial"/>
          <w:sz w:val="22"/>
          <w:szCs w:val="24"/>
        </w:rPr>
      </w:pPr>
      <w:r w:rsidRPr="008135EC">
        <w:rPr>
          <w:rFonts w:cs="Arial"/>
          <w:sz w:val="22"/>
          <w:szCs w:val="24"/>
        </w:rPr>
        <w:t>Communication</w:t>
      </w:r>
    </w:p>
    <w:p w:rsidR="00762895" w:rsidRPr="008135EC" w:rsidRDefault="00762895" w:rsidP="008135EC">
      <w:pPr>
        <w:pStyle w:val="ListParagraph"/>
        <w:numPr>
          <w:ilvl w:val="0"/>
          <w:numId w:val="8"/>
        </w:numPr>
        <w:rPr>
          <w:rFonts w:cs="Arial"/>
          <w:sz w:val="22"/>
          <w:szCs w:val="24"/>
        </w:rPr>
      </w:pPr>
      <w:r w:rsidRPr="008135EC">
        <w:rPr>
          <w:rFonts w:cs="Arial"/>
          <w:sz w:val="22"/>
          <w:szCs w:val="24"/>
        </w:rPr>
        <w:t>Team Working skills</w:t>
      </w:r>
    </w:p>
    <w:p w:rsidR="00762895" w:rsidRDefault="008135EC">
      <w:pPr>
        <w:rPr>
          <w:rFonts w:cs="Arial"/>
          <w:sz w:val="22"/>
        </w:rPr>
      </w:pPr>
      <w:r>
        <w:rPr>
          <w:rFonts w:cs="Arial"/>
          <w:sz w:val="22"/>
        </w:rPr>
        <w:t>Start by considering what activities and mini-projects you could do to develop these key skills. Below is a</w:t>
      </w:r>
      <w:r w:rsidR="00F57F65">
        <w:rPr>
          <w:rFonts w:cs="Arial"/>
          <w:sz w:val="22"/>
        </w:rPr>
        <w:t xml:space="preserve"> small</w:t>
      </w:r>
      <w:r>
        <w:rPr>
          <w:rFonts w:cs="Arial"/>
          <w:sz w:val="22"/>
        </w:rPr>
        <w:t xml:space="preserve"> table of example </w:t>
      </w:r>
      <w:r w:rsidR="00F57F65">
        <w:rPr>
          <w:rFonts w:cs="Arial"/>
          <w:sz w:val="22"/>
        </w:rPr>
        <w:t xml:space="preserve">projects and activities. A longer list of examples will be made available on the Intranet. </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407"/>
        <w:gridCol w:w="2755"/>
      </w:tblGrid>
      <w:tr w:rsidR="008135EC" w:rsidTr="00611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8135EC" w:rsidRDefault="008135EC">
            <w:pPr>
              <w:rPr>
                <w:rFonts w:cs="Arial"/>
                <w:sz w:val="22"/>
              </w:rPr>
            </w:pPr>
            <w:r>
              <w:rPr>
                <w:rFonts w:cs="Arial"/>
                <w:sz w:val="22"/>
              </w:rPr>
              <w:t>Example Project</w:t>
            </w:r>
            <w:r w:rsidR="00611F54">
              <w:rPr>
                <w:rFonts w:cs="Arial"/>
                <w:sz w:val="22"/>
              </w:rPr>
              <w:t>/Activities</w:t>
            </w:r>
          </w:p>
        </w:tc>
        <w:tc>
          <w:tcPr>
            <w:tcW w:w="3407" w:type="dxa"/>
          </w:tcPr>
          <w:p w:rsidR="008135EC" w:rsidRDefault="00611F54">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Tasks within the project/activity</w:t>
            </w:r>
            <w:r w:rsidR="008135EC">
              <w:rPr>
                <w:rFonts w:cs="Arial"/>
                <w:sz w:val="22"/>
              </w:rPr>
              <w:t xml:space="preserve"> </w:t>
            </w:r>
          </w:p>
        </w:tc>
        <w:tc>
          <w:tcPr>
            <w:tcW w:w="2755" w:type="dxa"/>
          </w:tcPr>
          <w:p w:rsidR="008135EC" w:rsidRDefault="008135EC">
            <w:pPr>
              <w:cnfStyle w:val="100000000000" w:firstRow="1" w:lastRow="0" w:firstColumn="0" w:lastColumn="0" w:oddVBand="0" w:evenVBand="0" w:oddHBand="0" w:evenHBand="0" w:firstRowFirstColumn="0" w:firstRowLastColumn="0" w:lastRowFirstColumn="0" w:lastRowLastColumn="0"/>
              <w:rPr>
                <w:rFonts w:cs="Arial"/>
                <w:sz w:val="22"/>
              </w:rPr>
            </w:pPr>
            <w:r>
              <w:rPr>
                <w:rFonts w:cs="Arial"/>
                <w:sz w:val="22"/>
              </w:rPr>
              <w:t>Skills developed</w:t>
            </w:r>
          </w:p>
        </w:tc>
      </w:tr>
      <w:tr w:rsidR="008135EC" w:rsidTr="00611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35EC" w:rsidRPr="00611F54" w:rsidRDefault="008677C0">
            <w:pPr>
              <w:rPr>
                <w:rFonts w:cs="Arial"/>
                <w:b w:val="0"/>
                <w:sz w:val="22"/>
              </w:rPr>
            </w:pPr>
            <w:r w:rsidRPr="00611F54">
              <w:rPr>
                <w:rFonts w:cs="Arial"/>
                <w:b w:val="0"/>
                <w:sz w:val="22"/>
              </w:rPr>
              <w:t xml:space="preserve">Deliver a presentation: </w:t>
            </w:r>
            <w:r w:rsidR="008135EC" w:rsidRPr="00611F54">
              <w:rPr>
                <w:rFonts w:cs="Arial"/>
                <w:b w:val="0"/>
                <w:sz w:val="22"/>
              </w:rPr>
              <w:t>How to increase employee satisfaction at work</w:t>
            </w:r>
          </w:p>
        </w:tc>
        <w:tc>
          <w:tcPr>
            <w:tcW w:w="3407" w:type="dxa"/>
            <w:tcBorders>
              <w:top w:val="none" w:sz="0" w:space="0" w:color="auto"/>
              <w:bottom w:val="none" w:sz="0" w:space="0" w:color="auto"/>
            </w:tcBorders>
          </w:tcPr>
          <w:p w:rsidR="008135EC" w:rsidRPr="008135EC" w:rsidRDefault="008135EC" w:rsidP="008135EC">
            <w:pPr>
              <w:cnfStyle w:val="000000100000" w:firstRow="0" w:lastRow="0" w:firstColumn="0" w:lastColumn="0" w:oddVBand="0" w:evenVBand="0" w:oddHBand="1" w:evenHBand="0" w:firstRowFirstColumn="0" w:firstRowLastColumn="0" w:lastRowFirstColumn="0" w:lastRowLastColumn="0"/>
              <w:rPr>
                <w:rFonts w:cs="Arial"/>
                <w:sz w:val="22"/>
              </w:rPr>
            </w:pPr>
            <w:r w:rsidRPr="008135EC">
              <w:rPr>
                <w:rFonts w:cs="Arial"/>
                <w:sz w:val="22"/>
              </w:rPr>
              <w:t>Online research</w:t>
            </w:r>
            <w:r>
              <w:rPr>
                <w:rFonts w:cs="Arial"/>
                <w:sz w:val="22"/>
              </w:rPr>
              <w:t>,</w:t>
            </w:r>
            <w:r w:rsidR="008677C0">
              <w:rPr>
                <w:rFonts w:cs="Arial"/>
                <w:sz w:val="22"/>
              </w:rPr>
              <w:t xml:space="preserve"> </w:t>
            </w:r>
            <w:r w:rsidRPr="008135EC">
              <w:rPr>
                <w:rFonts w:cs="Arial"/>
                <w:sz w:val="22"/>
              </w:rPr>
              <w:t>Employee survey</w:t>
            </w:r>
            <w:r>
              <w:rPr>
                <w:rFonts w:cs="Arial"/>
                <w:sz w:val="22"/>
              </w:rPr>
              <w:t>,</w:t>
            </w:r>
            <w:r w:rsidR="008677C0">
              <w:rPr>
                <w:rFonts w:cs="Arial"/>
                <w:sz w:val="22"/>
              </w:rPr>
              <w:t xml:space="preserve"> </w:t>
            </w:r>
            <w:r w:rsidRPr="008135EC">
              <w:rPr>
                <w:rFonts w:cs="Arial"/>
                <w:sz w:val="22"/>
              </w:rPr>
              <w:t>Conversations with employees</w:t>
            </w:r>
            <w:r>
              <w:rPr>
                <w:rFonts w:cs="Arial"/>
                <w:sz w:val="22"/>
              </w:rPr>
              <w:t>,</w:t>
            </w:r>
            <w:r w:rsidR="008677C0">
              <w:rPr>
                <w:rFonts w:cs="Arial"/>
                <w:sz w:val="22"/>
              </w:rPr>
              <w:t xml:space="preserve"> </w:t>
            </w:r>
            <w:r w:rsidRPr="008135EC">
              <w:rPr>
                <w:rFonts w:cs="Arial"/>
                <w:sz w:val="22"/>
              </w:rPr>
              <w:t xml:space="preserve">Analysing </w:t>
            </w:r>
            <w:r>
              <w:rPr>
                <w:rFonts w:cs="Arial"/>
                <w:sz w:val="22"/>
              </w:rPr>
              <w:t>results,</w:t>
            </w:r>
            <w:r w:rsidR="008677C0">
              <w:rPr>
                <w:rFonts w:cs="Arial"/>
                <w:sz w:val="22"/>
              </w:rPr>
              <w:t xml:space="preserve"> </w:t>
            </w:r>
            <w:r>
              <w:rPr>
                <w:rFonts w:cs="Arial"/>
                <w:sz w:val="22"/>
              </w:rPr>
              <w:t>Creating and delivering a presentation</w:t>
            </w:r>
            <w:r w:rsidR="008677C0">
              <w:rPr>
                <w:rFonts w:cs="Arial"/>
                <w:sz w:val="22"/>
              </w:rPr>
              <w:t>.</w:t>
            </w:r>
          </w:p>
        </w:tc>
        <w:tc>
          <w:tcPr>
            <w:tcW w:w="2755" w:type="dxa"/>
            <w:tcBorders>
              <w:top w:val="none" w:sz="0" w:space="0" w:color="auto"/>
              <w:bottom w:val="none" w:sz="0" w:space="0" w:color="auto"/>
              <w:right w:val="none" w:sz="0" w:space="0" w:color="auto"/>
            </w:tcBorders>
          </w:tcPr>
          <w:p w:rsidR="008135EC" w:rsidRDefault="008677C0" w:rsidP="008677C0">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Time management, organisation and communication, presentation, effective internet usage, analytical.</w:t>
            </w:r>
          </w:p>
        </w:tc>
      </w:tr>
      <w:tr w:rsidR="008135EC" w:rsidTr="00611F54">
        <w:tc>
          <w:tcPr>
            <w:cnfStyle w:val="001000000000" w:firstRow="0" w:lastRow="0" w:firstColumn="1" w:lastColumn="0" w:oddVBand="0" w:evenVBand="0" w:oddHBand="0" w:evenHBand="0" w:firstRowFirstColumn="0" w:firstRowLastColumn="0" w:lastRowFirstColumn="0" w:lastRowLastColumn="0"/>
            <w:tcW w:w="3080" w:type="dxa"/>
          </w:tcPr>
          <w:p w:rsidR="008135EC" w:rsidRPr="00611F54" w:rsidRDefault="008677C0">
            <w:pPr>
              <w:rPr>
                <w:rFonts w:cs="Arial"/>
                <w:b w:val="0"/>
                <w:sz w:val="22"/>
              </w:rPr>
            </w:pPr>
            <w:r w:rsidRPr="00611F54">
              <w:rPr>
                <w:rFonts w:cs="Arial"/>
                <w:b w:val="0"/>
                <w:sz w:val="22"/>
              </w:rPr>
              <w:t xml:space="preserve">Shadowing staff members </w:t>
            </w:r>
          </w:p>
        </w:tc>
        <w:tc>
          <w:tcPr>
            <w:tcW w:w="3407" w:type="dxa"/>
          </w:tcPr>
          <w:p w:rsidR="008135EC" w:rsidRDefault="008677C0">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Arranging meetings, making notes at meetings, photocopying, editing/proofreading documents </w:t>
            </w:r>
          </w:p>
        </w:tc>
        <w:tc>
          <w:tcPr>
            <w:tcW w:w="2755" w:type="dxa"/>
          </w:tcPr>
          <w:p w:rsidR="008135EC" w:rsidRDefault="008677C0">
            <w:pP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Time management, communication, administration, written skills</w:t>
            </w:r>
          </w:p>
        </w:tc>
      </w:tr>
      <w:tr w:rsidR="008135EC" w:rsidTr="00611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Borders>
              <w:top w:val="none" w:sz="0" w:space="0" w:color="auto"/>
              <w:left w:val="none" w:sz="0" w:space="0" w:color="auto"/>
              <w:bottom w:val="none" w:sz="0" w:space="0" w:color="auto"/>
            </w:tcBorders>
          </w:tcPr>
          <w:p w:rsidR="008135EC" w:rsidRPr="00611F54" w:rsidRDefault="008677C0">
            <w:pPr>
              <w:rPr>
                <w:rFonts w:cs="Arial"/>
                <w:b w:val="0"/>
                <w:sz w:val="22"/>
              </w:rPr>
            </w:pPr>
            <w:r w:rsidRPr="00611F54">
              <w:rPr>
                <w:rFonts w:cs="Arial"/>
                <w:b w:val="0"/>
                <w:sz w:val="22"/>
              </w:rPr>
              <w:t xml:space="preserve">Create useful resources for a real project </w:t>
            </w:r>
          </w:p>
        </w:tc>
        <w:tc>
          <w:tcPr>
            <w:tcW w:w="3407" w:type="dxa"/>
            <w:tcBorders>
              <w:top w:val="none" w:sz="0" w:space="0" w:color="auto"/>
              <w:bottom w:val="none" w:sz="0" w:space="0" w:color="auto"/>
            </w:tcBorders>
          </w:tcPr>
          <w:p w:rsidR="008135EC" w:rsidRDefault="008677C0">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 xml:space="preserve">Designing </w:t>
            </w:r>
            <w:r w:rsidR="00F57F65">
              <w:rPr>
                <w:rFonts w:cs="Arial"/>
                <w:sz w:val="22"/>
              </w:rPr>
              <w:t>information leaflets/posters, Printing/photocopying, editing/proofreading, developing a vision, selling an idea</w:t>
            </w:r>
          </w:p>
        </w:tc>
        <w:tc>
          <w:tcPr>
            <w:tcW w:w="2755" w:type="dxa"/>
            <w:tcBorders>
              <w:top w:val="none" w:sz="0" w:space="0" w:color="auto"/>
              <w:bottom w:val="none" w:sz="0" w:space="0" w:color="auto"/>
              <w:right w:val="none" w:sz="0" w:space="0" w:color="auto"/>
            </w:tcBorders>
          </w:tcPr>
          <w:p w:rsidR="008135EC" w:rsidRDefault="00F57F65">
            <w:pPr>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Communication, written, internet usage, organisation, presentation</w:t>
            </w:r>
          </w:p>
        </w:tc>
      </w:tr>
    </w:tbl>
    <w:p w:rsidR="008135EC" w:rsidRDefault="008135EC">
      <w:pPr>
        <w:rPr>
          <w:rFonts w:cs="Arial"/>
          <w:sz w:val="22"/>
        </w:rPr>
      </w:pPr>
    </w:p>
    <w:p w:rsidR="00611F54" w:rsidRDefault="00611F54">
      <w:pPr>
        <w:rPr>
          <w:rFonts w:cs="Arial"/>
          <w:sz w:val="22"/>
        </w:rPr>
      </w:pPr>
      <w:r>
        <w:rPr>
          <w:rFonts w:cs="Arial"/>
          <w:sz w:val="22"/>
        </w:rPr>
        <w:t xml:space="preserve">You are free to make your own projects and activities as long as they have an opportunity to develop the key skills during their Work Experience Opportunity. Equally, you can also concentrate on other skills, behaviours or development areas you think will be useful for the participant, for example, confidence, writing skills, interview technique, </w:t>
      </w:r>
      <w:r w:rsidR="004E3066">
        <w:rPr>
          <w:rFonts w:cs="Arial"/>
          <w:sz w:val="22"/>
        </w:rPr>
        <w:t>and presentation</w:t>
      </w:r>
      <w:r>
        <w:rPr>
          <w:rFonts w:cs="Arial"/>
          <w:sz w:val="22"/>
        </w:rPr>
        <w:t xml:space="preserve"> skills. </w:t>
      </w:r>
    </w:p>
    <w:p w:rsidR="00762895" w:rsidRPr="008135EC" w:rsidRDefault="005E7244">
      <w:pPr>
        <w:rPr>
          <w:rFonts w:cs="Arial"/>
          <w:b/>
          <w:szCs w:val="28"/>
        </w:rPr>
      </w:pPr>
      <w:r w:rsidRPr="008135EC">
        <w:rPr>
          <w:rFonts w:cs="Arial"/>
          <w:b/>
          <w:szCs w:val="28"/>
        </w:rPr>
        <w:lastRenderedPageBreak/>
        <w:t>Mandatory Learning</w:t>
      </w:r>
    </w:p>
    <w:p w:rsidR="00762895" w:rsidRPr="008135EC" w:rsidRDefault="00762895">
      <w:pPr>
        <w:rPr>
          <w:rFonts w:cs="Arial"/>
          <w:sz w:val="22"/>
          <w:szCs w:val="24"/>
        </w:rPr>
      </w:pPr>
      <w:r w:rsidRPr="008135EC">
        <w:rPr>
          <w:rFonts w:cs="Arial"/>
          <w:sz w:val="22"/>
          <w:szCs w:val="24"/>
        </w:rPr>
        <w:t xml:space="preserve">Participants will also complete mandatory learning as part of their </w:t>
      </w:r>
      <w:r w:rsidR="005E7244" w:rsidRPr="008135EC">
        <w:rPr>
          <w:rFonts w:cs="Arial"/>
          <w:sz w:val="22"/>
          <w:szCs w:val="24"/>
        </w:rPr>
        <w:t>placement. This learning is mandatory across DWP and takes place on Civil Service Learning. Ensure you put aside time for participants to complete this. Below are the mandatory modules.</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Keeping Safe Part 1</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 xml:space="preserve">Personal Health &amp; Safety Awareness e-learning (382145) </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Equality and Diversity Essentials e-learning (EDE13)</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Display Screen Equipment (DSE) e-learning (682086)</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 xml:space="preserve">Standards of Behaviour Policy </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 xml:space="preserve">Security Code of Conduct for DWP employees </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Basic Fire Awareness</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Responsible for Information</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 xml:space="preserve">Acceptable Use Policy </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 xml:space="preserve">DWP Security &amp; Resilience </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Electronic Communications with Citizens – Policy (updated January 2015)</w:t>
      </w:r>
    </w:p>
    <w:p w:rsidR="008135EC" w:rsidRPr="008135EC" w:rsidRDefault="008135EC" w:rsidP="008135EC">
      <w:pPr>
        <w:pStyle w:val="ListParagraph"/>
        <w:numPr>
          <w:ilvl w:val="0"/>
          <w:numId w:val="7"/>
        </w:numPr>
        <w:rPr>
          <w:rFonts w:cs="Arial"/>
          <w:sz w:val="22"/>
          <w:szCs w:val="24"/>
        </w:rPr>
      </w:pPr>
      <w:r w:rsidRPr="008135EC">
        <w:rPr>
          <w:rFonts w:cs="Arial"/>
          <w:sz w:val="22"/>
          <w:szCs w:val="24"/>
        </w:rPr>
        <w:t>Electronic Communications with Third Parties</w:t>
      </w:r>
    </w:p>
    <w:p w:rsidR="005E7244" w:rsidRDefault="008135EC" w:rsidP="008135EC">
      <w:pPr>
        <w:pStyle w:val="ListParagraph"/>
        <w:numPr>
          <w:ilvl w:val="0"/>
          <w:numId w:val="7"/>
        </w:numPr>
        <w:rPr>
          <w:rFonts w:cs="Arial"/>
          <w:sz w:val="22"/>
          <w:szCs w:val="24"/>
        </w:rPr>
      </w:pPr>
      <w:r w:rsidRPr="008135EC">
        <w:rPr>
          <w:rFonts w:cs="Arial"/>
          <w:sz w:val="22"/>
          <w:szCs w:val="24"/>
        </w:rPr>
        <w:t>Security Classification Scheme &amp; Secure Handling of Information</w:t>
      </w:r>
    </w:p>
    <w:p w:rsidR="00611F54" w:rsidRDefault="00611F54" w:rsidP="008135EC">
      <w:pPr>
        <w:rPr>
          <w:rFonts w:cs="Arial"/>
          <w:sz w:val="22"/>
          <w:szCs w:val="24"/>
        </w:rPr>
      </w:pPr>
    </w:p>
    <w:p w:rsidR="004E3066" w:rsidRDefault="004E3066" w:rsidP="008135EC">
      <w:pPr>
        <w:rPr>
          <w:rFonts w:cs="Arial"/>
          <w:sz w:val="22"/>
          <w:szCs w:val="24"/>
        </w:rPr>
      </w:pPr>
      <w:r>
        <w:rPr>
          <w:rFonts w:cs="Arial"/>
          <w:sz w:val="22"/>
          <w:szCs w:val="24"/>
        </w:rPr>
        <w:t>It would be useful to set aside allotted time for partici</w:t>
      </w:r>
      <w:r w:rsidR="009F5C89">
        <w:rPr>
          <w:rFonts w:cs="Arial"/>
          <w:sz w:val="22"/>
          <w:szCs w:val="24"/>
        </w:rPr>
        <w:t>pants to complete this training. 5 hours should be the right amount of time for participants to complete this learning</w:t>
      </w:r>
      <w:r>
        <w:rPr>
          <w:rFonts w:cs="Arial"/>
          <w:sz w:val="22"/>
          <w:szCs w:val="24"/>
        </w:rPr>
        <w:t xml:space="preserve">. </w:t>
      </w:r>
      <w:r w:rsidR="009F5C89">
        <w:rPr>
          <w:rFonts w:cs="Arial"/>
          <w:sz w:val="22"/>
          <w:szCs w:val="24"/>
        </w:rPr>
        <w:t xml:space="preserve">Try </w:t>
      </w:r>
      <w:r>
        <w:rPr>
          <w:rFonts w:cs="Arial"/>
          <w:sz w:val="22"/>
          <w:szCs w:val="24"/>
        </w:rPr>
        <w:t>breaking this up</w:t>
      </w:r>
      <w:r w:rsidR="001579F7">
        <w:rPr>
          <w:rFonts w:cs="Arial"/>
          <w:sz w:val="22"/>
          <w:szCs w:val="24"/>
        </w:rPr>
        <w:t>,</w:t>
      </w:r>
      <w:r>
        <w:rPr>
          <w:rFonts w:cs="Arial"/>
          <w:sz w:val="22"/>
          <w:szCs w:val="24"/>
        </w:rPr>
        <w:t xml:space="preserve"> as it can be quite dry for participants. </w:t>
      </w:r>
    </w:p>
    <w:p w:rsidR="004E3066" w:rsidRDefault="004E3066" w:rsidP="008135EC">
      <w:pPr>
        <w:rPr>
          <w:rFonts w:cs="Arial"/>
          <w:sz w:val="22"/>
          <w:szCs w:val="24"/>
        </w:rPr>
      </w:pPr>
      <w:r>
        <w:rPr>
          <w:rFonts w:cs="Arial"/>
          <w:sz w:val="22"/>
          <w:szCs w:val="24"/>
        </w:rPr>
        <w:t>Instructions on helping a participant set up an account on Civil Servic</w:t>
      </w:r>
      <w:r w:rsidR="000D2787">
        <w:rPr>
          <w:rFonts w:cs="Arial"/>
          <w:sz w:val="22"/>
          <w:szCs w:val="24"/>
        </w:rPr>
        <w:t>e Learning are</w:t>
      </w:r>
      <w:r>
        <w:rPr>
          <w:rFonts w:cs="Arial"/>
          <w:sz w:val="22"/>
          <w:szCs w:val="24"/>
        </w:rPr>
        <w:t xml:space="preserve"> contained within the Participant Manager Toolkit, which can be found on the Intranet. </w:t>
      </w: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Default="004E3066" w:rsidP="008135EC">
      <w:pPr>
        <w:rPr>
          <w:rFonts w:cs="Arial"/>
          <w:sz w:val="22"/>
          <w:szCs w:val="24"/>
        </w:rPr>
      </w:pPr>
    </w:p>
    <w:p w:rsidR="004E3066" w:rsidRPr="008135EC" w:rsidRDefault="004E3066" w:rsidP="008135EC">
      <w:pPr>
        <w:rPr>
          <w:rFonts w:cs="Arial"/>
          <w:sz w:val="22"/>
          <w:szCs w:val="24"/>
        </w:rPr>
      </w:pPr>
    </w:p>
    <w:p w:rsidR="003150AA" w:rsidRPr="008135EC" w:rsidRDefault="003150AA">
      <w:pPr>
        <w:rPr>
          <w:rFonts w:cs="Arial"/>
          <w:b/>
          <w:szCs w:val="28"/>
        </w:rPr>
      </w:pPr>
      <w:r w:rsidRPr="008135EC">
        <w:rPr>
          <w:rFonts w:cs="Arial"/>
          <w:b/>
          <w:szCs w:val="28"/>
        </w:rPr>
        <w:lastRenderedPageBreak/>
        <w:t>Skills to Succeed</w:t>
      </w:r>
    </w:p>
    <w:p w:rsidR="003150AA" w:rsidRPr="008135EC" w:rsidRDefault="003150AA" w:rsidP="003150AA">
      <w:pPr>
        <w:jc w:val="both"/>
        <w:rPr>
          <w:sz w:val="22"/>
        </w:rPr>
      </w:pPr>
      <w:bookmarkStart w:id="0" w:name="_Hlk516584774"/>
      <w:r w:rsidRPr="008135EC">
        <w:rPr>
          <w:sz w:val="22"/>
        </w:rPr>
        <w:t xml:space="preserve">The Skills to Succeed Academy is a free online employability training programme developed by </w:t>
      </w:r>
      <w:hyperlink r:id="rId9" w:history="1">
        <w:r w:rsidRPr="008135EC">
          <w:rPr>
            <w:rStyle w:val="Hyperlink"/>
            <w:sz w:val="22"/>
          </w:rPr>
          <w:t>Accenture</w:t>
        </w:r>
      </w:hyperlink>
      <w:r w:rsidRPr="008135EC">
        <w:rPr>
          <w:b/>
          <w:sz w:val="22"/>
        </w:rPr>
        <w:t>.</w:t>
      </w:r>
      <w:r w:rsidRPr="008135EC">
        <w:rPr>
          <w:sz w:val="22"/>
        </w:rPr>
        <w:t xml:space="preserve"> </w:t>
      </w:r>
    </w:p>
    <w:p w:rsidR="003150AA" w:rsidRPr="008135EC" w:rsidRDefault="003150AA" w:rsidP="003150AA">
      <w:pPr>
        <w:jc w:val="both"/>
        <w:rPr>
          <w:sz w:val="22"/>
          <w:lang w:val="en-US"/>
        </w:rPr>
      </w:pPr>
      <w:r w:rsidRPr="008135EC">
        <w:rPr>
          <w:sz w:val="22"/>
        </w:rPr>
        <w:t>The Skills to Succeed Academy offers bite-sized, interactive online training modules to prepare participants for the entire journey of choosing the right career, finding a job and succeeding in the workplace.</w:t>
      </w:r>
      <w:r w:rsidRPr="008135EC">
        <w:rPr>
          <w:sz w:val="22"/>
          <w:lang w:val="en-US"/>
        </w:rPr>
        <w:t xml:space="preserve">  </w:t>
      </w:r>
    </w:p>
    <w:bookmarkEnd w:id="0"/>
    <w:p w:rsidR="003150AA" w:rsidRPr="008135EC" w:rsidRDefault="003150AA" w:rsidP="003150AA">
      <w:pPr>
        <w:jc w:val="both"/>
        <w:rPr>
          <w:sz w:val="22"/>
        </w:rPr>
      </w:pPr>
      <w:r w:rsidRPr="008135EC">
        <w:rPr>
          <w:sz w:val="22"/>
        </w:rPr>
        <w:t>All candidates are encouraged to follow a curriculum of set modules from the Skills to Succeed Academy to complement their Work Experience Opportunity.</w:t>
      </w:r>
    </w:p>
    <w:p w:rsidR="00762895" w:rsidRPr="008135EC" w:rsidRDefault="003150AA">
      <w:pPr>
        <w:rPr>
          <w:sz w:val="22"/>
        </w:rPr>
      </w:pPr>
      <w:r w:rsidRPr="008135EC">
        <w:rPr>
          <w:sz w:val="22"/>
        </w:rPr>
        <w:t>View the table below to give you an idea of what the participants will be learning and when the participants should complete these modules.</w:t>
      </w:r>
    </w:p>
    <w:tbl>
      <w:tblPr>
        <w:tblpPr w:leftFromText="180" w:rightFromText="180" w:vertAnchor="text" w:horzAnchor="margin" w:tblpX="137" w:tblpY="509"/>
        <w:tblW w:w="929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51"/>
        <w:gridCol w:w="1701"/>
        <w:gridCol w:w="1843"/>
        <w:gridCol w:w="1843"/>
        <w:gridCol w:w="1954"/>
      </w:tblGrid>
      <w:tr w:rsidR="003150AA" w:rsidRPr="008135EC" w:rsidTr="003150AA">
        <w:trPr>
          <w:trHeight w:val="437"/>
        </w:trPr>
        <w:tc>
          <w:tcPr>
            <w:tcW w:w="1951" w:type="dxa"/>
            <w:shd w:val="clear" w:color="auto" w:fill="525252"/>
            <w:vAlign w:val="center"/>
          </w:tcPr>
          <w:p w:rsidR="003150AA" w:rsidRPr="008135EC" w:rsidRDefault="003150AA" w:rsidP="003150AA">
            <w:pPr>
              <w:jc w:val="center"/>
              <w:rPr>
                <w:rFonts w:cs="Arial"/>
                <w:b/>
                <w:color w:val="FFFFFF"/>
                <w:sz w:val="20"/>
              </w:rPr>
            </w:pPr>
            <w:r w:rsidRPr="008135EC">
              <w:rPr>
                <w:rFonts w:cs="Arial"/>
                <w:b/>
                <w:color w:val="FFFFFF"/>
                <w:sz w:val="20"/>
              </w:rPr>
              <w:t>Before</w:t>
            </w:r>
          </w:p>
        </w:tc>
        <w:tc>
          <w:tcPr>
            <w:tcW w:w="5387" w:type="dxa"/>
            <w:gridSpan w:val="3"/>
            <w:shd w:val="clear" w:color="auto" w:fill="6800A8"/>
            <w:vAlign w:val="center"/>
          </w:tcPr>
          <w:p w:rsidR="003150AA" w:rsidRPr="008135EC" w:rsidRDefault="003150AA" w:rsidP="003150AA">
            <w:pPr>
              <w:jc w:val="center"/>
              <w:rPr>
                <w:rFonts w:cs="Arial"/>
                <w:b/>
                <w:color w:val="FFFFFF"/>
                <w:sz w:val="20"/>
              </w:rPr>
            </w:pPr>
            <w:r w:rsidRPr="008135EC">
              <w:rPr>
                <w:rFonts w:cs="Arial"/>
                <w:b/>
                <w:color w:val="FFFFFF"/>
                <w:sz w:val="20"/>
              </w:rPr>
              <w:t>During</w:t>
            </w:r>
          </w:p>
        </w:tc>
        <w:tc>
          <w:tcPr>
            <w:tcW w:w="1954" w:type="dxa"/>
            <w:shd w:val="clear" w:color="auto" w:fill="00B9FA"/>
            <w:vAlign w:val="center"/>
          </w:tcPr>
          <w:p w:rsidR="003150AA" w:rsidRPr="008135EC" w:rsidRDefault="003150AA" w:rsidP="003150AA">
            <w:pPr>
              <w:jc w:val="center"/>
              <w:rPr>
                <w:rFonts w:cs="Arial"/>
                <w:b/>
                <w:sz w:val="20"/>
              </w:rPr>
            </w:pPr>
            <w:r w:rsidRPr="008135EC">
              <w:rPr>
                <w:rFonts w:cs="Arial"/>
                <w:b/>
                <w:sz w:val="20"/>
              </w:rPr>
              <w:t>After</w:t>
            </w:r>
          </w:p>
        </w:tc>
      </w:tr>
      <w:tr w:rsidR="003150AA" w:rsidRPr="008135EC" w:rsidTr="003150AA">
        <w:trPr>
          <w:trHeight w:val="542"/>
        </w:trPr>
        <w:tc>
          <w:tcPr>
            <w:tcW w:w="1951" w:type="dxa"/>
            <w:shd w:val="clear" w:color="auto" w:fill="525252"/>
            <w:vAlign w:val="center"/>
          </w:tcPr>
          <w:p w:rsidR="003150AA" w:rsidRPr="008135EC" w:rsidRDefault="003150AA" w:rsidP="003150AA">
            <w:pPr>
              <w:jc w:val="center"/>
              <w:rPr>
                <w:rFonts w:cs="Arial"/>
                <w:b/>
                <w:color w:val="FFFFFF"/>
                <w:sz w:val="20"/>
              </w:rPr>
            </w:pPr>
            <w:r w:rsidRPr="008135EC">
              <w:rPr>
                <w:rFonts w:cs="Arial"/>
                <w:b/>
                <w:color w:val="FFFFFF"/>
                <w:sz w:val="20"/>
              </w:rPr>
              <w:t>Pre-Requisite Activities</w:t>
            </w:r>
          </w:p>
        </w:tc>
        <w:tc>
          <w:tcPr>
            <w:tcW w:w="1701" w:type="dxa"/>
            <w:shd w:val="clear" w:color="auto" w:fill="6800A8"/>
            <w:vAlign w:val="center"/>
          </w:tcPr>
          <w:p w:rsidR="003150AA" w:rsidRPr="008135EC" w:rsidRDefault="003150AA" w:rsidP="003150AA">
            <w:pPr>
              <w:jc w:val="center"/>
              <w:rPr>
                <w:rFonts w:cs="Arial"/>
                <w:b/>
                <w:sz w:val="20"/>
              </w:rPr>
            </w:pPr>
            <w:r w:rsidRPr="008135EC">
              <w:rPr>
                <w:rFonts w:cs="Arial"/>
                <w:b/>
                <w:color w:val="FFFFFF"/>
                <w:sz w:val="20"/>
              </w:rPr>
              <w:t>Week 1</w:t>
            </w:r>
          </w:p>
        </w:tc>
        <w:tc>
          <w:tcPr>
            <w:tcW w:w="1843" w:type="dxa"/>
            <w:shd w:val="clear" w:color="auto" w:fill="6800A8"/>
            <w:vAlign w:val="center"/>
          </w:tcPr>
          <w:p w:rsidR="003150AA" w:rsidRPr="008135EC" w:rsidRDefault="003150AA" w:rsidP="003150AA">
            <w:pPr>
              <w:jc w:val="center"/>
              <w:rPr>
                <w:rFonts w:cs="Arial"/>
                <w:b/>
                <w:color w:val="FFFFFF"/>
                <w:sz w:val="20"/>
              </w:rPr>
            </w:pPr>
            <w:r w:rsidRPr="008135EC">
              <w:rPr>
                <w:rFonts w:cs="Arial"/>
                <w:b/>
                <w:color w:val="FFFFFF"/>
                <w:sz w:val="20"/>
              </w:rPr>
              <w:t>Week 2</w:t>
            </w:r>
          </w:p>
        </w:tc>
        <w:tc>
          <w:tcPr>
            <w:tcW w:w="1843" w:type="dxa"/>
            <w:shd w:val="clear" w:color="auto" w:fill="6800A8"/>
            <w:vAlign w:val="center"/>
          </w:tcPr>
          <w:p w:rsidR="003150AA" w:rsidRPr="008135EC" w:rsidRDefault="003150AA" w:rsidP="003150AA">
            <w:pPr>
              <w:jc w:val="center"/>
              <w:rPr>
                <w:rFonts w:cs="Arial"/>
                <w:b/>
                <w:color w:val="FFFFFF"/>
                <w:sz w:val="20"/>
              </w:rPr>
            </w:pPr>
            <w:r w:rsidRPr="008135EC">
              <w:rPr>
                <w:rFonts w:cs="Arial"/>
                <w:b/>
                <w:color w:val="FFFFFF"/>
                <w:sz w:val="20"/>
              </w:rPr>
              <w:t>Week 3</w:t>
            </w:r>
          </w:p>
        </w:tc>
        <w:tc>
          <w:tcPr>
            <w:tcW w:w="1954" w:type="dxa"/>
            <w:shd w:val="clear" w:color="auto" w:fill="00B9FA"/>
            <w:vAlign w:val="center"/>
          </w:tcPr>
          <w:p w:rsidR="003150AA" w:rsidRPr="008135EC" w:rsidRDefault="003150AA" w:rsidP="003150AA">
            <w:pPr>
              <w:jc w:val="center"/>
              <w:rPr>
                <w:rFonts w:cs="Arial"/>
                <w:b/>
                <w:sz w:val="20"/>
              </w:rPr>
            </w:pPr>
            <w:r w:rsidRPr="008135EC">
              <w:rPr>
                <w:rFonts w:cs="Arial"/>
                <w:b/>
                <w:sz w:val="20"/>
              </w:rPr>
              <w:t>Consolidating Learning</w:t>
            </w:r>
          </w:p>
        </w:tc>
      </w:tr>
      <w:tr w:rsidR="003150AA" w:rsidRPr="008135EC" w:rsidTr="003150AA">
        <w:trPr>
          <w:trHeight w:val="2669"/>
        </w:trPr>
        <w:tc>
          <w:tcPr>
            <w:tcW w:w="1951" w:type="dxa"/>
            <w:shd w:val="clear" w:color="auto" w:fill="F2F2F2"/>
          </w:tcPr>
          <w:p w:rsidR="003150AA" w:rsidRPr="008135EC" w:rsidRDefault="003150AA" w:rsidP="003150AA">
            <w:pPr>
              <w:textAlignment w:val="baseline"/>
              <w:rPr>
                <w:rFonts w:cs="Arial"/>
                <w:sz w:val="20"/>
              </w:rPr>
            </w:pPr>
            <w:r w:rsidRPr="008135EC">
              <w:rPr>
                <w:rFonts w:eastAsia="+mn-ea" w:cs="Arial"/>
                <w:bCs/>
                <w:kern w:val="24"/>
                <w:sz w:val="20"/>
              </w:rPr>
              <w:t>SIW 4:  Welcome to WurkyWorld</w:t>
            </w:r>
          </w:p>
          <w:p w:rsidR="003150AA" w:rsidRPr="008135EC" w:rsidRDefault="003150AA" w:rsidP="003150AA">
            <w:pPr>
              <w:textAlignment w:val="baseline"/>
              <w:rPr>
                <w:rFonts w:eastAsia="+mn-ea" w:cs="Arial"/>
                <w:bCs/>
                <w:kern w:val="24"/>
                <w:sz w:val="20"/>
              </w:rPr>
            </w:pPr>
            <w:r w:rsidRPr="008135EC">
              <w:rPr>
                <w:rFonts w:eastAsia="+mn-ea" w:cs="Arial"/>
                <w:bCs/>
                <w:kern w:val="24"/>
                <w:sz w:val="20"/>
              </w:rPr>
              <w:t>SIW 5: Finding your Feet</w:t>
            </w:r>
          </w:p>
          <w:p w:rsidR="003150AA" w:rsidRPr="008135EC" w:rsidRDefault="003150AA" w:rsidP="003150AA">
            <w:pPr>
              <w:textAlignment w:val="baseline"/>
              <w:rPr>
                <w:rFonts w:eastAsia="+mn-ea" w:cs="Arial"/>
                <w:bCs/>
                <w:kern w:val="24"/>
                <w:sz w:val="20"/>
              </w:rPr>
            </w:pPr>
            <w:r w:rsidRPr="008135EC">
              <w:rPr>
                <w:rFonts w:eastAsia="+mn-ea" w:cs="Arial"/>
                <w:bCs/>
                <w:kern w:val="24"/>
                <w:sz w:val="20"/>
              </w:rPr>
              <w:t>SIW 7: Knowing Your Job</w:t>
            </w:r>
          </w:p>
          <w:p w:rsidR="003150AA" w:rsidRPr="008135EC" w:rsidRDefault="003150AA" w:rsidP="003150AA">
            <w:pPr>
              <w:textAlignment w:val="baseline"/>
              <w:rPr>
                <w:rFonts w:cs="Arial"/>
                <w:sz w:val="20"/>
              </w:rPr>
            </w:pPr>
            <w:r w:rsidRPr="008135EC">
              <w:rPr>
                <w:rFonts w:eastAsia="+mn-ea" w:cs="Arial"/>
                <w:bCs/>
                <w:kern w:val="24"/>
                <w:sz w:val="20"/>
              </w:rPr>
              <w:t>SIW 8:  Having the Right Attitude</w:t>
            </w:r>
          </w:p>
        </w:tc>
        <w:tc>
          <w:tcPr>
            <w:tcW w:w="1701" w:type="dxa"/>
            <w:shd w:val="clear" w:color="auto" w:fill="E7C1FF"/>
          </w:tcPr>
          <w:p w:rsidR="003150AA" w:rsidRPr="008135EC" w:rsidRDefault="003150AA" w:rsidP="003150AA">
            <w:pPr>
              <w:contextualSpacing/>
              <w:textAlignment w:val="baseline"/>
              <w:rPr>
                <w:rFonts w:eastAsia="Times New Roman" w:cs="Arial"/>
                <w:sz w:val="20"/>
                <w:lang w:eastAsia="en-GB"/>
              </w:rPr>
            </w:pPr>
            <w:r w:rsidRPr="008135EC">
              <w:rPr>
                <w:rFonts w:eastAsia="+mn-ea" w:cs="Arial"/>
                <w:bCs/>
                <w:kern w:val="24"/>
                <w:sz w:val="20"/>
                <w:lang w:eastAsia="en-GB"/>
              </w:rPr>
              <w:t>YAYC 5: Find Your Future</w:t>
            </w:r>
          </w:p>
          <w:p w:rsidR="003150AA" w:rsidRPr="008135EC" w:rsidRDefault="003150AA" w:rsidP="003150AA">
            <w:pPr>
              <w:contextualSpacing/>
              <w:textAlignment w:val="baseline"/>
              <w:rPr>
                <w:rFonts w:eastAsia="Times New Roman" w:cs="Arial"/>
                <w:sz w:val="20"/>
                <w:lang w:eastAsia="en-GB"/>
              </w:rPr>
            </w:pPr>
            <w:r w:rsidRPr="008135EC">
              <w:rPr>
                <w:rFonts w:eastAsia="+mn-ea" w:cs="Arial"/>
                <w:bCs/>
                <w:kern w:val="24"/>
                <w:sz w:val="20"/>
                <w:lang w:eastAsia="en-GB"/>
              </w:rPr>
              <w:t>SIW 9: Life at WurkyWorld</w:t>
            </w:r>
          </w:p>
          <w:p w:rsidR="003150AA" w:rsidRPr="008135EC" w:rsidRDefault="003150AA" w:rsidP="003150AA">
            <w:pPr>
              <w:rPr>
                <w:rFonts w:cs="Arial"/>
                <w:sz w:val="20"/>
              </w:rPr>
            </w:pPr>
          </w:p>
        </w:tc>
        <w:tc>
          <w:tcPr>
            <w:tcW w:w="1843" w:type="dxa"/>
            <w:shd w:val="clear" w:color="auto" w:fill="E7C1FF"/>
          </w:tcPr>
          <w:p w:rsidR="003150AA" w:rsidRPr="008135EC" w:rsidRDefault="003150AA" w:rsidP="003150AA">
            <w:pPr>
              <w:contextualSpacing/>
              <w:textAlignment w:val="baseline"/>
              <w:rPr>
                <w:rFonts w:eastAsia="Times New Roman" w:cs="Arial"/>
                <w:sz w:val="20"/>
                <w:lang w:eastAsia="en-GB"/>
              </w:rPr>
            </w:pPr>
            <w:r w:rsidRPr="008135EC">
              <w:rPr>
                <w:rFonts w:eastAsia="+mn-ea" w:cs="Arial"/>
                <w:bCs/>
                <w:kern w:val="24"/>
                <w:sz w:val="20"/>
                <w:lang w:eastAsia="en-GB"/>
              </w:rPr>
              <w:t>GAJ 5: Identify your Skills</w:t>
            </w:r>
          </w:p>
          <w:p w:rsidR="003150AA" w:rsidRPr="008135EC" w:rsidRDefault="003150AA" w:rsidP="003150AA">
            <w:pPr>
              <w:contextualSpacing/>
              <w:textAlignment w:val="baseline"/>
              <w:rPr>
                <w:rFonts w:eastAsia="Times New Roman" w:cs="Arial"/>
                <w:sz w:val="20"/>
                <w:lang w:eastAsia="en-GB"/>
              </w:rPr>
            </w:pPr>
            <w:r w:rsidRPr="008135EC">
              <w:rPr>
                <w:rFonts w:eastAsia="+mn-ea" w:cs="Arial"/>
                <w:bCs/>
                <w:kern w:val="24"/>
                <w:sz w:val="20"/>
                <w:lang w:eastAsia="en-GB"/>
              </w:rPr>
              <w:t>GAJ 6: Create Your CV</w:t>
            </w:r>
          </w:p>
          <w:p w:rsidR="003150AA" w:rsidRPr="008135EC" w:rsidRDefault="003150AA" w:rsidP="003150AA">
            <w:pPr>
              <w:contextualSpacing/>
              <w:textAlignment w:val="baseline"/>
              <w:rPr>
                <w:rFonts w:eastAsia="Times New Roman" w:cs="Arial"/>
                <w:sz w:val="20"/>
                <w:lang w:eastAsia="en-GB"/>
              </w:rPr>
            </w:pPr>
            <w:r w:rsidRPr="008135EC">
              <w:rPr>
                <w:rFonts w:eastAsia="+mn-ea" w:cs="Arial"/>
                <w:bCs/>
                <w:kern w:val="24"/>
                <w:sz w:val="20"/>
                <w:lang w:eastAsia="en-GB"/>
              </w:rPr>
              <w:t>GAJ 20: Online Professional Presence</w:t>
            </w:r>
          </w:p>
        </w:tc>
        <w:tc>
          <w:tcPr>
            <w:tcW w:w="1843" w:type="dxa"/>
            <w:shd w:val="clear" w:color="auto" w:fill="E7C1FF"/>
          </w:tcPr>
          <w:p w:rsidR="003150AA" w:rsidRPr="008135EC" w:rsidRDefault="003150AA" w:rsidP="003150AA">
            <w:pPr>
              <w:contextualSpacing/>
              <w:textAlignment w:val="baseline"/>
              <w:rPr>
                <w:rFonts w:eastAsia="+mn-ea" w:cs="Arial"/>
                <w:bCs/>
                <w:kern w:val="24"/>
                <w:sz w:val="20"/>
                <w:lang w:eastAsia="en-GB"/>
              </w:rPr>
            </w:pPr>
            <w:r w:rsidRPr="008135EC">
              <w:rPr>
                <w:rFonts w:eastAsia="+mn-ea" w:cs="Arial"/>
                <w:bCs/>
                <w:kern w:val="24"/>
                <w:sz w:val="20"/>
                <w:lang w:eastAsia="en-GB"/>
              </w:rPr>
              <w:t>GAJ 10: Test Drive the CAR Technique</w:t>
            </w:r>
          </w:p>
          <w:p w:rsidR="003150AA" w:rsidRPr="008135EC" w:rsidRDefault="003150AA" w:rsidP="003150AA">
            <w:pPr>
              <w:contextualSpacing/>
              <w:textAlignment w:val="baseline"/>
              <w:rPr>
                <w:rFonts w:eastAsia="+mn-ea" w:cs="Arial"/>
                <w:bCs/>
                <w:kern w:val="24"/>
                <w:sz w:val="20"/>
                <w:lang w:eastAsia="en-GB"/>
              </w:rPr>
            </w:pPr>
            <w:r w:rsidRPr="008135EC">
              <w:rPr>
                <w:rFonts w:eastAsia="+mn-ea" w:cs="Arial"/>
                <w:bCs/>
                <w:kern w:val="24"/>
                <w:sz w:val="20"/>
                <w:lang w:eastAsia="en-GB"/>
              </w:rPr>
              <w:t>GAJ 16: Prepare for your Interview</w:t>
            </w:r>
          </w:p>
        </w:tc>
        <w:tc>
          <w:tcPr>
            <w:tcW w:w="1954" w:type="dxa"/>
            <w:shd w:val="clear" w:color="auto" w:fill="ABE9FF"/>
          </w:tcPr>
          <w:p w:rsidR="003150AA" w:rsidRPr="008135EC" w:rsidRDefault="003150AA" w:rsidP="003150AA">
            <w:pPr>
              <w:contextualSpacing/>
              <w:textAlignment w:val="baseline"/>
              <w:rPr>
                <w:rFonts w:eastAsia="+mn-ea" w:cs="Arial"/>
                <w:bCs/>
                <w:kern w:val="24"/>
                <w:sz w:val="20"/>
                <w:lang w:eastAsia="en-GB"/>
              </w:rPr>
            </w:pPr>
            <w:r w:rsidRPr="008135EC">
              <w:rPr>
                <w:rFonts w:eastAsia="+mn-ea" w:cs="Arial"/>
                <w:bCs/>
                <w:kern w:val="24"/>
                <w:sz w:val="20"/>
                <w:lang w:eastAsia="en-GB"/>
              </w:rPr>
              <w:t>GAJ 13: Tailor your CV</w:t>
            </w:r>
          </w:p>
          <w:p w:rsidR="003150AA" w:rsidRPr="008135EC" w:rsidRDefault="003150AA" w:rsidP="003150AA">
            <w:pPr>
              <w:contextualSpacing/>
              <w:textAlignment w:val="baseline"/>
              <w:rPr>
                <w:rFonts w:eastAsia="+mn-ea" w:cs="Arial"/>
                <w:bCs/>
                <w:kern w:val="24"/>
                <w:sz w:val="20"/>
                <w:lang w:eastAsia="en-GB"/>
              </w:rPr>
            </w:pPr>
            <w:r w:rsidRPr="008135EC">
              <w:rPr>
                <w:rFonts w:eastAsia="+mn-ea" w:cs="Arial"/>
                <w:bCs/>
                <w:kern w:val="24"/>
                <w:sz w:val="20"/>
                <w:lang w:eastAsia="en-GB"/>
              </w:rPr>
              <w:t>GAJ 18: Ace your Interview</w:t>
            </w:r>
          </w:p>
          <w:p w:rsidR="003150AA" w:rsidRPr="008135EC" w:rsidRDefault="003150AA" w:rsidP="003150AA">
            <w:pPr>
              <w:contextualSpacing/>
              <w:textAlignment w:val="baseline"/>
              <w:rPr>
                <w:rFonts w:eastAsia="+mn-ea" w:cs="Arial"/>
                <w:bCs/>
                <w:kern w:val="24"/>
                <w:sz w:val="20"/>
                <w:lang w:eastAsia="en-GB"/>
              </w:rPr>
            </w:pPr>
            <w:r w:rsidRPr="008135EC">
              <w:rPr>
                <w:rFonts w:eastAsia="+mn-ea" w:cs="Arial"/>
                <w:bCs/>
                <w:kern w:val="24"/>
                <w:sz w:val="20"/>
                <w:lang w:eastAsia="en-GB"/>
              </w:rPr>
              <w:t>GAJ 19: Pearly Bank Panel</w:t>
            </w:r>
          </w:p>
          <w:p w:rsidR="003150AA" w:rsidRPr="008135EC" w:rsidRDefault="003150AA" w:rsidP="003150AA">
            <w:pPr>
              <w:contextualSpacing/>
              <w:textAlignment w:val="baseline"/>
              <w:rPr>
                <w:rFonts w:eastAsia="+mn-ea" w:cs="Arial"/>
                <w:bCs/>
                <w:kern w:val="24"/>
                <w:sz w:val="20"/>
                <w:lang w:eastAsia="en-GB"/>
              </w:rPr>
            </w:pPr>
            <w:r w:rsidRPr="008135EC">
              <w:rPr>
                <w:rFonts w:eastAsia="+mn-ea" w:cs="Arial"/>
                <w:bCs/>
                <w:kern w:val="24"/>
                <w:sz w:val="20"/>
                <w:lang w:eastAsia="en-GB"/>
              </w:rPr>
              <w:t>SIW: 10 Using your Skills to Succeed</w:t>
            </w:r>
          </w:p>
        </w:tc>
      </w:tr>
    </w:tbl>
    <w:p w:rsidR="003150AA" w:rsidRPr="008135EC" w:rsidRDefault="003150AA">
      <w:pPr>
        <w:rPr>
          <w:sz w:val="22"/>
        </w:rPr>
      </w:pPr>
    </w:p>
    <w:p w:rsidR="004E3066" w:rsidRDefault="004E3066">
      <w:pPr>
        <w:rPr>
          <w:sz w:val="22"/>
        </w:rPr>
      </w:pPr>
    </w:p>
    <w:p w:rsidR="003150AA" w:rsidRPr="008135EC" w:rsidRDefault="003150AA">
      <w:pPr>
        <w:rPr>
          <w:sz w:val="22"/>
        </w:rPr>
      </w:pPr>
      <w:r w:rsidRPr="008135EC">
        <w:rPr>
          <w:sz w:val="22"/>
        </w:rPr>
        <w:t>It would be useful for you to e</w:t>
      </w:r>
      <w:r w:rsidR="008135EC" w:rsidRPr="008135EC">
        <w:rPr>
          <w:sz w:val="22"/>
        </w:rPr>
        <w:t>nsure that you include time in the</w:t>
      </w:r>
      <w:r w:rsidRPr="008135EC">
        <w:rPr>
          <w:sz w:val="22"/>
        </w:rPr>
        <w:t xml:space="preserve"> timetable to talk to the participant about their learning and help them re</w:t>
      </w:r>
      <w:r w:rsidR="008135EC" w:rsidRPr="008135EC">
        <w:rPr>
          <w:sz w:val="22"/>
        </w:rPr>
        <w:t>flect on what they have learnt and practise their skills. For example, you could have a mock interview after the Prepare for your Interview module.</w:t>
      </w:r>
    </w:p>
    <w:p w:rsidR="008135EC" w:rsidRPr="008135EC" w:rsidRDefault="008135EC">
      <w:pPr>
        <w:rPr>
          <w:sz w:val="22"/>
        </w:rPr>
      </w:pPr>
    </w:p>
    <w:p w:rsidR="008135EC" w:rsidRDefault="008135EC">
      <w:pPr>
        <w:rPr>
          <w:sz w:val="22"/>
        </w:rPr>
      </w:pPr>
    </w:p>
    <w:p w:rsidR="004E3066" w:rsidRDefault="004E3066">
      <w:pPr>
        <w:rPr>
          <w:sz w:val="22"/>
        </w:rPr>
      </w:pPr>
    </w:p>
    <w:p w:rsidR="004E3066" w:rsidRDefault="004E3066">
      <w:pPr>
        <w:rPr>
          <w:sz w:val="22"/>
        </w:rPr>
      </w:pPr>
    </w:p>
    <w:p w:rsidR="004E3066" w:rsidRDefault="004E3066">
      <w:pPr>
        <w:rPr>
          <w:sz w:val="22"/>
        </w:rPr>
      </w:pPr>
    </w:p>
    <w:p w:rsidR="004E3066" w:rsidRDefault="004E3066">
      <w:pPr>
        <w:rPr>
          <w:sz w:val="22"/>
        </w:rPr>
      </w:pPr>
    </w:p>
    <w:p w:rsidR="00075E47" w:rsidRDefault="00075E47">
      <w:pPr>
        <w:rPr>
          <w:sz w:val="22"/>
        </w:rPr>
      </w:pPr>
    </w:p>
    <w:p w:rsidR="004E3066" w:rsidRDefault="004E3066">
      <w:pPr>
        <w:rPr>
          <w:b/>
        </w:rPr>
      </w:pPr>
      <w:r>
        <w:rPr>
          <w:b/>
        </w:rPr>
        <w:lastRenderedPageBreak/>
        <w:t xml:space="preserve">Coming up with a timetable </w:t>
      </w:r>
    </w:p>
    <w:p w:rsidR="004E3066" w:rsidRDefault="004E3066">
      <w:pPr>
        <w:rPr>
          <w:sz w:val="22"/>
        </w:rPr>
      </w:pPr>
      <w:r>
        <w:rPr>
          <w:sz w:val="22"/>
        </w:rPr>
        <w:t xml:space="preserve">Once you’ve considered the projects and activities you’d like a participant to complete, you should put this into a timetable. </w:t>
      </w:r>
    </w:p>
    <w:p w:rsidR="00800C4B" w:rsidRDefault="004E3066">
      <w:pPr>
        <w:rPr>
          <w:sz w:val="22"/>
        </w:rPr>
      </w:pPr>
      <w:r>
        <w:rPr>
          <w:sz w:val="22"/>
        </w:rPr>
        <w:t>Consider how long your Work Experience Opportunity will last. Don’t overstretch the participant, but likewise, don’t leave them with too much time on their hands.</w:t>
      </w:r>
      <w:r w:rsidR="00800C4B">
        <w:rPr>
          <w:sz w:val="22"/>
        </w:rPr>
        <w:t xml:space="preserve"> Also remember that the first day needs to include an induction. This would be a good time to set up meetings with members of nearby teams, as well as an introduction to a MtW buddy if you have one. </w:t>
      </w:r>
    </w:p>
    <w:p w:rsidR="00F07998" w:rsidRDefault="00F07998">
      <w:pPr>
        <w:rPr>
          <w:sz w:val="22"/>
        </w:rPr>
      </w:pPr>
      <w:r>
        <w:rPr>
          <w:sz w:val="22"/>
        </w:rPr>
        <w:t>On the following page is an example t</w:t>
      </w:r>
      <w:r w:rsidR="00004244">
        <w:rPr>
          <w:sz w:val="22"/>
        </w:rPr>
        <w:t>hree</w:t>
      </w:r>
      <w:r>
        <w:rPr>
          <w:sz w:val="22"/>
        </w:rPr>
        <w:t xml:space="preserve"> week timetable.</w:t>
      </w:r>
    </w:p>
    <w:p w:rsidR="004A29B9" w:rsidRDefault="004A29B9">
      <w:pPr>
        <w:rPr>
          <w:sz w:val="22"/>
        </w:rPr>
      </w:pPr>
    </w:p>
    <w:p w:rsidR="004A29B9" w:rsidRPr="004A29B9" w:rsidRDefault="004A29B9" w:rsidP="004A29B9">
      <w:pPr>
        <w:rPr>
          <w:b/>
        </w:rPr>
      </w:pPr>
      <w:r w:rsidRPr="004A29B9">
        <w:rPr>
          <w:b/>
        </w:rPr>
        <w:t>What next?</w:t>
      </w:r>
    </w:p>
    <w:p w:rsidR="004A29B9" w:rsidRDefault="004A29B9" w:rsidP="004A29B9">
      <w:pPr>
        <w:rPr>
          <w:sz w:val="22"/>
        </w:rPr>
      </w:pPr>
      <w:r>
        <w:rPr>
          <w:sz w:val="22"/>
        </w:rPr>
        <w:t xml:space="preserve">All that’s left is to fill out the opportunities form, which can be found </w:t>
      </w:r>
      <w:hyperlink r:id="rId10" w:history="1">
        <w:r w:rsidRPr="004A29B9">
          <w:rPr>
            <w:rStyle w:val="Hyperlink"/>
            <w:sz w:val="22"/>
          </w:rPr>
          <w:t>here</w:t>
        </w:r>
      </w:hyperlink>
      <w:r>
        <w:rPr>
          <w:sz w:val="22"/>
        </w:rPr>
        <w:t xml:space="preserve">. </w:t>
      </w:r>
    </w:p>
    <w:p w:rsidR="004A29B9" w:rsidRPr="004A29B9" w:rsidRDefault="004A29B9" w:rsidP="004A29B9">
      <w:pPr>
        <w:rPr>
          <w:b/>
          <w:szCs w:val="24"/>
        </w:rPr>
      </w:pPr>
      <w:r>
        <w:rPr>
          <w:sz w:val="22"/>
        </w:rPr>
        <w:t xml:space="preserve">Remember, what you write is what will be advertised on the Talent Platform, so really sell your placement! For an idea of what other live ads contain, check out what’s live at the moment, </w:t>
      </w:r>
      <w:hyperlink r:id="rId11" w:history="1">
        <w:r w:rsidRPr="004A29B9">
          <w:rPr>
            <w:rStyle w:val="Hyperlink"/>
            <w:sz w:val="22"/>
          </w:rPr>
          <w:t>here</w:t>
        </w:r>
      </w:hyperlink>
      <w:bookmarkStart w:id="1" w:name="_GoBack"/>
      <w:bookmarkEnd w:id="1"/>
      <w:r>
        <w:rPr>
          <w:sz w:val="22"/>
        </w:rPr>
        <w:t>.</w:t>
      </w:r>
    </w:p>
    <w:p w:rsidR="004A29B9" w:rsidRDefault="004A29B9">
      <w:pPr>
        <w:rPr>
          <w:sz w:val="22"/>
        </w:rPr>
      </w:pPr>
    </w:p>
    <w:p w:rsidR="00F07998" w:rsidRDefault="00F07998">
      <w:pPr>
        <w:rPr>
          <w:sz w:val="22"/>
        </w:rPr>
      </w:pPr>
    </w:p>
    <w:p w:rsidR="00F07998" w:rsidRDefault="00F07998">
      <w:pPr>
        <w:rPr>
          <w:sz w:val="22"/>
        </w:rPr>
      </w:pPr>
    </w:p>
    <w:p w:rsidR="00F07998" w:rsidRDefault="00F07998">
      <w:pPr>
        <w:rPr>
          <w:sz w:val="22"/>
        </w:rPr>
      </w:pPr>
    </w:p>
    <w:p w:rsidR="00F07998" w:rsidRDefault="00F07998">
      <w:pPr>
        <w:rPr>
          <w:sz w:val="22"/>
        </w:rPr>
      </w:pPr>
    </w:p>
    <w:p w:rsidR="00F07998" w:rsidRDefault="00F07998">
      <w:pPr>
        <w:rPr>
          <w:sz w:val="22"/>
        </w:rPr>
        <w:sectPr w:rsidR="00F07998" w:rsidSect="00F07998">
          <w:pgSz w:w="11906" w:h="16838"/>
          <w:pgMar w:top="1440" w:right="1440" w:bottom="1440" w:left="1440" w:header="708" w:footer="708" w:gutter="0"/>
          <w:cols w:space="708"/>
          <w:docGrid w:linePitch="360"/>
        </w:sectPr>
      </w:pPr>
    </w:p>
    <w:p w:rsidR="00F07998" w:rsidRPr="004A29B9" w:rsidRDefault="004A29B9">
      <w:pPr>
        <w:rPr>
          <w:b/>
        </w:rPr>
      </w:pPr>
      <w:r w:rsidRPr="004A29B9">
        <w:rPr>
          <w:b/>
        </w:rPr>
        <w:lastRenderedPageBreak/>
        <w:t>Sample Timetable</w:t>
      </w:r>
    </w:p>
    <w:tbl>
      <w:tblPr>
        <w:tblStyle w:val="LightList-Accent4"/>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409"/>
        <w:gridCol w:w="3544"/>
        <w:gridCol w:w="2410"/>
        <w:gridCol w:w="2693"/>
        <w:gridCol w:w="2693"/>
      </w:tblGrid>
      <w:tr w:rsidR="00075E47" w:rsidTr="004A2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75E47" w:rsidRPr="009C002B" w:rsidRDefault="009C002B" w:rsidP="00075E47">
            <w:pPr>
              <w:rPr>
                <w:b w:val="0"/>
                <w:sz w:val="22"/>
              </w:rPr>
            </w:pPr>
            <w:r w:rsidRPr="009C002B">
              <w:rPr>
                <w:sz w:val="22"/>
              </w:rPr>
              <w:t>Week 1</w:t>
            </w:r>
          </w:p>
        </w:tc>
        <w:tc>
          <w:tcPr>
            <w:tcW w:w="2409" w:type="dxa"/>
          </w:tcPr>
          <w:p w:rsidR="00075E47" w:rsidRDefault="00075E47" w:rsidP="00075E47">
            <w:pPr>
              <w:cnfStyle w:val="100000000000" w:firstRow="1" w:lastRow="0" w:firstColumn="0" w:lastColumn="0" w:oddVBand="0" w:evenVBand="0" w:oddHBand="0" w:evenHBand="0" w:firstRowFirstColumn="0" w:firstRowLastColumn="0" w:lastRowFirstColumn="0" w:lastRowLastColumn="0"/>
              <w:rPr>
                <w:sz w:val="22"/>
              </w:rPr>
            </w:pPr>
            <w:r>
              <w:rPr>
                <w:sz w:val="22"/>
              </w:rPr>
              <w:t>Monday</w:t>
            </w:r>
          </w:p>
        </w:tc>
        <w:tc>
          <w:tcPr>
            <w:tcW w:w="3544" w:type="dxa"/>
          </w:tcPr>
          <w:p w:rsidR="00075E47" w:rsidRDefault="00075E47" w:rsidP="00075E47">
            <w:pPr>
              <w:cnfStyle w:val="100000000000" w:firstRow="1" w:lastRow="0" w:firstColumn="0" w:lastColumn="0" w:oddVBand="0" w:evenVBand="0" w:oddHBand="0" w:evenHBand="0" w:firstRowFirstColumn="0" w:firstRowLastColumn="0" w:lastRowFirstColumn="0" w:lastRowLastColumn="0"/>
              <w:rPr>
                <w:sz w:val="22"/>
              </w:rPr>
            </w:pPr>
            <w:r>
              <w:rPr>
                <w:sz w:val="22"/>
              </w:rPr>
              <w:t>Tuesday</w:t>
            </w:r>
          </w:p>
        </w:tc>
        <w:tc>
          <w:tcPr>
            <w:tcW w:w="2410" w:type="dxa"/>
          </w:tcPr>
          <w:p w:rsidR="00075E47" w:rsidRDefault="00075E47" w:rsidP="00075E47">
            <w:pPr>
              <w:cnfStyle w:val="100000000000" w:firstRow="1" w:lastRow="0" w:firstColumn="0" w:lastColumn="0" w:oddVBand="0" w:evenVBand="0" w:oddHBand="0" w:evenHBand="0" w:firstRowFirstColumn="0" w:firstRowLastColumn="0" w:lastRowFirstColumn="0" w:lastRowLastColumn="0"/>
              <w:rPr>
                <w:sz w:val="22"/>
              </w:rPr>
            </w:pPr>
            <w:r>
              <w:rPr>
                <w:sz w:val="22"/>
              </w:rPr>
              <w:t>Wednesday</w:t>
            </w:r>
          </w:p>
        </w:tc>
        <w:tc>
          <w:tcPr>
            <w:tcW w:w="2693" w:type="dxa"/>
          </w:tcPr>
          <w:p w:rsidR="00075E47" w:rsidRDefault="00075E47" w:rsidP="00075E47">
            <w:pPr>
              <w:cnfStyle w:val="100000000000" w:firstRow="1" w:lastRow="0" w:firstColumn="0" w:lastColumn="0" w:oddVBand="0" w:evenVBand="0" w:oddHBand="0" w:evenHBand="0" w:firstRowFirstColumn="0" w:firstRowLastColumn="0" w:lastRowFirstColumn="0" w:lastRowLastColumn="0"/>
              <w:rPr>
                <w:sz w:val="22"/>
              </w:rPr>
            </w:pPr>
            <w:r>
              <w:rPr>
                <w:sz w:val="22"/>
              </w:rPr>
              <w:t>Thursday</w:t>
            </w:r>
          </w:p>
        </w:tc>
        <w:tc>
          <w:tcPr>
            <w:tcW w:w="2693" w:type="dxa"/>
          </w:tcPr>
          <w:p w:rsidR="00075E47" w:rsidRDefault="00075E47" w:rsidP="00075E47">
            <w:pPr>
              <w:cnfStyle w:val="100000000000" w:firstRow="1" w:lastRow="0" w:firstColumn="0" w:lastColumn="0" w:oddVBand="0" w:evenVBand="0" w:oddHBand="0" w:evenHBand="0" w:firstRowFirstColumn="0" w:firstRowLastColumn="0" w:lastRowFirstColumn="0" w:lastRowLastColumn="0"/>
              <w:rPr>
                <w:sz w:val="22"/>
              </w:rPr>
            </w:pPr>
            <w:r>
              <w:rPr>
                <w:sz w:val="22"/>
              </w:rPr>
              <w:t>Friday</w:t>
            </w:r>
          </w:p>
        </w:tc>
      </w:tr>
      <w:tr w:rsidR="00075E47"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075E47" w:rsidRDefault="00075E47" w:rsidP="00075E47">
            <w:pPr>
              <w:rPr>
                <w:sz w:val="22"/>
              </w:rPr>
            </w:pPr>
            <w:r>
              <w:rPr>
                <w:sz w:val="22"/>
              </w:rPr>
              <w:t>0900 – 1000</w:t>
            </w:r>
          </w:p>
        </w:tc>
        <w:tc>
          <w:tcPr>
            <w:tcW w:w="2409" w:type="dxa"/>
            <w:vMerge w:val="restart"/>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Introductions, tour of building, induction</w:t>
            </w:r>
          </w:p>
        </w:tc>
        <w:tc>
          <w:tcPr>
            <w:tcW w:w="3544"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Introduction to curriculum (ML and skills to succeed log in)</w:t>
            </w:r>
          </w:p>
        </w:tc>
        <w:tc>
          <w:tcPr>
            <w:tcW w:w="2410"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Mandatory learning</w:t>
            </w:r>
          </w:p>
        </w:tc>
        <w:tc>
          <w:tcPr>
            <w:tcW w:w="2693"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Mandatory learning</w:t>
            </w:r>
          </w:p>
        </w:tc>
        <w:tc>
          <w:tcPr>
            <w:tcW w:w="2693" w:type="dxa"/>
            <w:tcBorders>
              <w:top w:val="none" w:sz="0" w:space="0" w:color="auto"/>
              <w:bottom w:val="none" w:sz="0" w:space="0" w:color="auto"/>
              <w:right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Mandatory learning</w:t>
            </w:r>
          </w:p>
        </w:tc>
      </w:tr>
      <w:tr w:rsidR="00075E47" w:rsidTr="004A29B9">
        <w:tc>
          <w:tcPr>
            <w:cnfStyle w:val="001000000000" w:firstRow="0" w:lastRow="0" w:firstColumn="1" w:lastColumn="0" w:oddVBand="0" w:evenVBand="0" w:oddHBand="0" w:evenHBand="0" w:firstRowFirstColumn="0" w:firstRowLastColumn="0" w:lastRowFirstColumn="0" w:lastRowLastColumn="0"/>
            <w:tcW w:w="1668" w:type="dxa"/>
          </w:tcPr>
          <w:p w:rsidR="00075E47" w:rsidRDefault="00075E47" w:rsidP="00075E47">
            <w:pPr>
              <w:rPr>
                <w:sz w:val="22"/>
              </w:rPr>
            </w:pPr>
            <w:r>
              <w:rPr>
                <w:sz w:val="22"/>
              </w:rPr>
              <w:t xml:space="preserve">1000 – 1100 </w:t>
            </w:r>
          </w:p>
        </w:tc>
        <w:tc>
          <w:tcPr>
            <w:tcW w:w="2409" w:type="dxa"/>
            <w:vMerge/>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p>
        </w:tc>
        <w:tc>
          <w:tcPr>
            <w:tcW w:w="3544"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Mandatory learning</w:t>
            </w:r>
          </w:p>
        </w:tc>
        <w:tc>
          <w:tcPr>
            <w:tcW w:w="2410"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Recap on Project, next steps etc</w:t>
            </w:r>
          </w:p>
        </w:tc>
        <w:tc>
          <w:tcPr>
            <w:tcW w:w="2693"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Project</w:t>
            </w:r>
          </w:p>
        </w:tc>
        <w:tc>
          <w:tcPr>
            <w:tcW w:w="2693"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S2S – Finish week 1</w:t>
            </w:r>
          </w:p>
        </w:tc>
      </w:tr>
      <w:tr w:rsidR="00075E47"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075E47" w:rsidRDefault="00075E47" w:rsidP="00075E47">
            <w:pPr>
              <w:rPr>
                <w:sz w:val="22"/>
              </w:rPr>
            </w:pPr>
            <w:r>
              <w:rPr>
                <w:sz w:val="22"/>
              </w:rPr>
              <w:t xml:space="preserve">1100 – 1200 </w:t>
            </w:r>
          </w:p>
        </w:tc>
        <w:tc>
          <w:tcPr>
            <w:tcW w:w="2409"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Expectations – skills to be improved etc</w:t>
            </w:r>
          </w:p>
        </w:tc>
        <w:tc>
          <w:tcPr>
            <w:tcW w:w="3544"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Introduction Project</w:t>
            </w:r>
          </w:p>
        </w:tc>
        <w:tc>
          <w:tcPr>
            <w:tcW w:w="2410"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 </w:t>
            </w:r>
          </w:p>
        </w:tc>
        <w:tc>
          <w:tcPr>
            <w:tcW w:w="2693"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Expectations re-cap, check project progress</w:t>
            </w:r>
          </w:p>
        </w:tc>
        <w:tc>
          <w:tcPr>
            <w:tcW w:w="2693" w:type="dxa"/>
            <w:tcBorders>
              <w:top w:val="none" w:sz="0" w:space="0" w:color="auto"/>
              <w:bottom w:val="none" w:sz="0" w:space="0" w:color="auto"/>
              <w:right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S2S / Project</w:t>
            </w:r>
          </w:p>
        </w:tc>
      </w:tr>
      <w:tr w:rsidR="00075E47" w:rsidTr="004A29B9">
        <w:tc>
          <w:tcPr>
            <w:cnfStyle w:val="001000000000" w:firstRow="0" w:lastRow="0" w:firstColumn="1" w:lastColumn="0" w:oddVBand="0" w:evenVBand="0" w:oddHBand="0" w:evenHBand="0" w:firstRowFirstColumn="0" w:firstRowLastColumn="0" w:lastRowFirstColumn="0" w:lastRowLastColumn="0"/>
            <w:tcW w:w="1668" w:type="dxa"/>
          </w:tcPr>
          <w:p w:rsidR="00075E47" w:rsidRDefault="00075E47" w:rsidP="00075E47">
            <w:pPr>
              <w:rPr>
                <w:sz w:val="22"/>
              </w:rPr>
            </w:pPr>
            <w:r>
              <w:rPr>
                <w:sz w:val="22"/>
              </w:rPr>
              <w:t xml:space="preserve">1200 – 1300 </w:t>
            </w:r>
          </w:p>
        </w:tc>
        <w:tc>
          <w:tcPr>
            <w:tcW w:w="2409"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3544"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410"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693"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693"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r>
      <w:tr w:rsidR="00075E47"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075E47" w:rsidRDefault="00075E47" w:rsidP="00075E47">
            <w:pPr>
              <w:rPr>
                <w:sz w:val="22"/>
              </w:rPr>
            </w:pPr>
            <w:r>
              <w:rPr>
                <w:sz w:val="22"/>
              </w:rPr>
              <w:t xml:space="preserve">1300 – 1400 </w:t>
            </w:r>
          </w:p>
        </w:tc>
        <w:tc>
          <w:tcPr>
            <w:tcW w:w="2409" w:type="dxa"/>
            <w:vMerge w:val="restart"/>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task: what do we do? Make a leaflet </w:t>
            </w:r>
          </w:p>
        </w:tc>
        <w:tc>
          <w:tcPr>
            <w:tcW w:w="3544" w:type="dxa"/>
            <w:vMerge w:val="restart"/>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Project</w:t>
            </w:r>
          </w:p>
        </w:tc>
        <w:tc>
          <w:tcPr>
            <w:tcW w:w="2410" w:type="dxa"/>
            <w:vMerge w:val="restart"/>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Project</w:t>
            </w:r>
          </w:p>
        </w:tc>
        <w:tc>
          <w:tcPr>
            <w:tcW w:w="2693" w:type="dxa"/>
            <w:vMerge w:val="restart"/>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Skills to succeed </w:t>
            </w:r>
          </w:p>
        </w:tc>
        <w:tc>
          <w:tcPr>
            <w:tcW w:w="2693" w:type="dxa"/>
            <w:tcBorders>
              <w:top w:val="none" w:sz="0" w:space="0" w:color="auto"/>
              <w:bottom w:val="none" w:sz="0" w:space="0" w:color="auto"/>
              <w:right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My week so far… </w:t>
            </w:r>
          </w:p>
        </w:tc>
      </w:tr>
      <w:tr w:rsidR="00075E47" w:rsidTr="004A29B9">
        <w:tc>
          <w:tcPr>
            <w:cnfStyle w:val="001000000000" w:firstRow="0" w:lastRow="0" w:firstColumn="1" w:lastColumn="0" w:oddVBand="0" w:evenVBand="0" w:oddHBand="0" w:evenHBand="0" w:firstRowFirstColumn="0" w:firstRowLastColumn="0" w:lastRowFirstColumn="0" w:lastRowLastColumn="0"/>
            <w:tcW w:w="1668" w:type="dxa"/>
          </w:tcPr>
          <w:p w:rsidR="00075E47" w:rsidRDefault="00075E47" w:rsidP="00075E47">
            <w:pPr>
              <w:rPr>
                <w:sz w:val="22"/>
              </w:rPr>
            </w:pPr>
            <w:r>
              <w:rPr>
                <w:sz w:val="22"/>
              </w:rPr>
              <w:t xml:space="preserve">1400 – 1500 </w:t>
            </w:r>
          </w:p>
        </w:tc>
        <w:tc>
          <w:tcPr>
            <w:tcW w:w="2409" w:type="dxa"/>
            <w:vMerge/>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p>
        </w:tc>
        <w:tc>
          <w:tcPr>
            <w:tcW w:w="3544" w:type="dxa"/>
            <w:vMerge/>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p>
        </w:tc>
        <w:tc>
          <w:tcPr>
            <w:tcW w:w="2410" w:type="dxa"/>
            <w:vMerge/>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p>
        </w:tc>
        <w:tc>
          <w:tcPr>
            <w:tcW w:w="2693" w:type="dxa"/>
            <w:vMerge/>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p>
        </w:tc>
        <w:tc>
          <w:tcPr>
            <w:tcW w:w="2693" w:type="dxa"/>
          </w:tcPr>
          <w:p w:rsidR="00075E47" w:rsidRDefault="00075E47" w:rsidP="00075E47">
            <w:pPr>
              <w:cnfStyle w:val="000000000000" w:firstRow="0" w:lastRow="0" w:firstColumn="0" w:lastColumn="0" w:oddVBand="0" w:evenVBand="0" w:oddHBand="0" w:evenHBand="0" w:firstRowFirstColumn="0" w:firstRowLastColumn="0" w:lastRowFirstColumn="0" w:lastRowLastColumn="0"/>
              <w:rPr>
                <w:sz w:val="22"/>
              </w:rPr>
            </w:pPr>
            <w:r>
              <w:rPr>
                <w:sz w:val="22"/>
              </w:rPr>
              <w:t>End of week check-in</w:t>
            </w:r>
          </w:p>
        </w:tc>
      </w:tr>
      <w:tr w:rsidR="00075E47"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075E47" w:rsidRDefault="00075E47" w:rsidP="00075E47">
            <w:pPr>
              <w:rPr>
                <w:sz w:val="22"/>
              </w:rPr>
            </w:pPr>
            <w:r>
              <w:rPr>
                <w:sz w:val="22"/>
              </w:rPr>
              <w:t xml:space="preserve">1500 – 1530 </w:t>
            </w:r>
          </w:p>
        </w:tc>
        <w:tc>
          <w:tcPr>
            <w:tcW w:w="2409"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3544"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410"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693" w:type="dxa"/>
            <w:tcBorders>
              <w:top w:val="none" w:sz="0" w:space="0" w:color="auto"/>
              <w:bottom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693" w:type="dxa"/>
            <w:tcBorders>
              <w:top w:val="none" w:sz="0" w:space="0" w:color="auto"/>
              <w:bottom w:val="none" w:sz="0" w:space="0" w:color="auto"/>
              <w:right w:val="none" w:sz="0" w:space="0" w:color="auto"/>
            </w:tcBorders>
          </w:tcPr>
          <w:p w:rsidR="00075E47" w:rsidRDefault="00075E47" w:rsidP="00075E47">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Self-reflection </w:t>
            </w:r>
          </w:p>
        </w:tc>
      </w:tr>
    </w:tbl>
    <w:p w:rsidR="009C002B" w:rsidRDefault="009C002B" w:rsidP="00075E47">
      <w:pPr>
        <w:rPr>
          <w:b/>
          <w:sz w:val="22"/>
        </w:rPr>
      </w:pPr>
    </w:p>
    <w:tbl>
      <w:tblPr>
        <w:tblStyle w:val="LightList-Accent4"/>
        <w:tblpPr w:leftFromText="180" w:rightFromText="180" w:vertAnchor="text" w:horzAnchor="margin"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3544"/>
        <w:gridCol w:w="2410"/>
        <w:gridCol w:w="2693"/>
        <w:gridCol w:w="2693"/>
      </w:tblGrid>
      <w:tr w:rsidR="009C002B" w:rsidTr="004A2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C002B" w:rsidRPr="009C002B" w:rsidRDefault="009C002B" w:rsidP="009C002B">
            <w:pPr>
              <w:rPr>
                <w:b w:val="0"/>
                <w:sz w:val="22"/>
              </w:rPr>
            </w:pPr>
            <w:r w:rsidRPr="009C002B">
              <w:rPr>
                <w:sz w:val="22"/>
              </w:rPr>
              <w:t>Week 2</w:t>
            </w:r>
          </w:p>
        </w:tc>
        <w:tc>
          <w:tcPr>
            <w:tcW w:w="2409" w:type="dxa"/>
          </w:tcPr>
          <w:p w:rsidR="009C002B" w:rsidRDefault="009C002B" w:rsidP="009C002B">
            <w:pPr>
              <w:cnfStyle w:val="100000000000" w:firstRow="1" w:lastRow="0" w:firstColumn="0" w:lastColumn="0" w:oddVBand="0" w:evenVBand="0" w:oddHBand="0" w:evenHBand="0" w:firstRowFirstColumn="0" w:firstRowLastColumn="0" w:lastRowFirstColumn="0" w:lastRowLastColumn="0"/>
              <w:rPr>
                <w:sz w:val="22"/>
              </w:rPr>
            </w:pPr>
            <w:r>
              <w:rPr>
                <w:sz w:val="22"/>
              </w:rPr>
              <w:t>Monday</w:t>
            </w:r>
          </w:p>
        </w:tc>
        <w:tc>
          <w:tcPr>
            <w:tcW w:w="3544" w:type="dxa"/>
          </w:tcPr>
          <w:p w:rsidR="009C002B" w:rsidRDefault="009C002B" w:rsidP="009C002B">
            <w:pPr>
              <w:cnfStyle w:val="100000000000" w:firstRow="1" w:lastRow="0" w:firstColumn="0" w:lastColumn="0" w:oddVBand="0" w:evenVBand="0" w:oddHBand="0" w:evenHBand="0" w:firstRowFirstColumn="0" w:firstRowLastColumn="0" w:lastRowFirstColumn="0" w:lastRowLastColumn="0"/>
              <w:rPr>
                <w:sz w:val="22"/>
              </w:rPr>
            </w:pPr>
            <w:r>
              <w:rPr>
                <w:sz w:val="22"/>
              </w:rPr>
              <w:t>Tuesday</w:t>
            </w:r>
          </w:p>
        </w:tc>
        <w:tc>
          <w:tcPr>
            <w:tcW w:w="2410" w:type="dxa"/>
          </w:tcPr>
          <w:p w:rsidR="009C002B" w:rsidRDefault="009C002B" w:rsidP="009C002B">
            <w:pPr>
              <w:cnfStyle w:val="100000000000" w:firstRow="1" w:lastRow="0" w:firstColumn="0" w:lastColumn="0" w:oddVBand="0" w:evenVBand="0" w:oddHBand="0" w:evenHBand="0" w:firstRowFirstColumn="0" w:firstRowLastColumn="0" w:lastRowFirstColumn="0" w:lastRowLastColumn="0"/>
              <w:rPr>
                <w:sz w:val="22"/>
              </w:rPr>
            </w:pPr>
            <w:r>
              <w:rPr>
                <w:sz w:val="22"/>
              </w:rPr>
              <w:t>Wednesday</w:t>
            </w:r>
          </w:p>
        </w:tc>
        <w:tc>
          <w:tcPr>
            <w:tcW w:w="2693" w:type="dxa"/>
          </w:tcPr>
          <w:p w:rsidR="009C002B" w:rsidRDefault="009C002B" w:rsidP="009C002B">
            <w:pPr>
              <w:cnfStyle w:val="100000000000" w:firstRow="1" w:lastRow="0" w:firstColumn="0" w:lastColumn="0" w:oddVBand="0" w:evenVBand="0" w:oddHBand="0" w:evenHBand="0" w:firstRowFirstColumn="0" w:firstRowLastColumn="0" w:lastRowFirstColumn="0" w:lastRowLastColumn="0"/>
              <w:rPr>
                <w:sz w:val="22"/>
              </w:rPr>
            </w:pPr>
            <w:r>
              <w:rPr>
                <w:sz w:val="22"/>
              </w:rPr>
              <w:t>Thursday</w:t>
            </w:r>
          </w:p>
        </w:tc>
        <w:tc>
          <w:tcPr>
            <w:tcW w:w="2693" w:type="dxa"/>
          </w:tcPr>
          <w:p w:rsidR="009C002B" w:rsidRDefault="009C002B" w:rsidP="009C002B">
            <w:pPr>
              <w:cnfStyle w:val="100000000000" w:firstRow="1" w:lastRow="0" w:firstColumn="0" w:lastColumn="0" w:oddVBand="0" w:evenVBand="0" w:oddHBand="0" w:evenHBand="0" w:firstRowFirstColumn="0" w:firstRowLastColumn="0" w:lastRowFirstColumn="0" w:lastRowLastColumn="0"/>
              <w:rPr>
                <w:sz w:val="22"/>
              </w:rPr>
            </w:pPr>
            <w:r>
              <w:rPr>
                <w:sz w:val="22"/>
              </w:rPr>
              <w:t>Friday</w:t>
            </w:r>
          </w:p>
        </w:tc>
      </w:tr>
      <w:tr w:rsidR="009C002B" w:rsidTr="004A29B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002B" w:rsidRDefault="009C002B" w:rsidP="009C002B">
            <w:pPr>
              <w:rPr>
                <w:sz w:val="22"/>
              </w:rPr>
            </w:pPr>
            <w:r>
              <w:rPr>
                <w:sz w:val="22"/>
              </w:rPr>
              <w:t>0900 – 1000</w:t>
            </w:r>
          </w:p>
        </w:tc>
        <w:tc>
          <w:tcPr>
            <w:tcW w:w="2409"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How was your weekend/reflections</w:t>
            </w:r>
          </w:p>
        </w:tc>
        <w:tc>
          <w:tcPr>
            <w:tcW w:w="3544"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S2S – skills and CV </w:t>
            </w:r>
          </w:p>
        </w:tc>
        <w:tc>
          <w:tcPr>
            <w:tcW w:w="2410"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S2S Online presence </w:t>
            </w:r>
          </w:p>
        </w:tc>
        <w:tc>
          <w:tcPr>
            <w:tcW w:w="2693"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Sell Yourself – poster/presentation/video</w:t>
            </w:r>
          </w:p>
        </w:tc>
        <w:tc>
          <w:tcPr>
            <w:tcW w:w="2693" w:type="dxa"/>
            <w:tcBorders>
              <w:top w:val="none" w:sz="0" w:space="0" w:color="auto"/>
              <w:bottom w:val="none" w:sz="0" w:space="0" w:color="auto"/>
              <w:right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Debate </w:t>
            </w:r>
          </w:p>
        </w:tc>
      </w:tr>
      <w:tr w:rsidR="009C002B" w:rsidTr="004A29B9">
        <w:tc>
          <w:tcPr>
            <w:cnfStyle w:val="001000000000" w:firstRow="0" w:lastRow="0" w:firstColumn="1" w:lastColumn="0" w:oddVBand="0" w:evenVBand="0" w:oddHBand="0" w:evenHBand="0" w:firstRowFirstColumn="0" w:firstRowLastColumn="0" w:lastRowFirstColumn="0" w:lastRowLastColumn="0"/>
            <w:tcW w:w="1668" w:type="dxa"/>
          </w:tcPr>
          <w:p w:rsidR="009C002B" w:rsidRDefault="009C002B" w:rsidP="009C002B">
            <w:pPr>
              <w:rPr>
                <w:sz w:val="22"/>
              </w:rPr>
            </w:pPr>
            <w:r>
              <w:rPr>
                <w:sz w:val="22"/>
              </w:rPr>
              <w:t xml:space="preserve">1000 – 1100 </w:t>
            </w:r>
          </w:p>
        </w:tc>
        <w:tc>
          <w:tcPr>
            <w:tcW w:w="2409"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Finish any ML </w:t>
            </w:r>
          </w:p>
        </w:tc>
        <w:tc>
          <w:tcPr>
            <w:tcW w:w="3544" w:type="dxa"/>
            <w:vMerge w:val="restart"/>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Skills, personal statement, CV, cover letter workshop</w:t>
            </w:r>
          </w:p>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p>
        </w:tc>
        <w:tc>
          <w:tcPr>
            <w:tcW w:w="2410"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LinkedIn research, job search etc.</w:t>
            </w:r>
          </w:p>
        </w:tc>
        <w:tc>
          <w:tcPr>
            <w:tcW w:w="2693"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Project</w:t>
            </w:r>
          </w:p>
        </w:tc>
        <w:tc>
          <w:tcPr>
            <w:tcW w:w="2693"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S2S – Finish week 1 / 2 </w:t>
            </w:r>
          </w:p>
        </w:tc>
      </w:tr>
      <w:tr w:rsidR="009C002B"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002B" w:rsidRDefault="009C002B" w:rsidP="009C002B">
            <w:pPr>
              <w:rPr>
                <w:sz w:val="22"/>
              </w:rPr>
            </w:pPr>
            <w:r>
              <w:rPr>
                <w:sz w:val="22"/>
              </w:rPr>
              <w:t xml:space="preserve">1100 – 1200 </w:t>
            </w:r>
          </w:p>
        </w:tc>
        <w:tc>
          <w:tcPr>
            <w:tcW w:w="2409"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Project recap</w:t>
            </w:r>
          </w:p>
        </w:tc>
        <w:tc>
          <w:tcPr>
            <w:tcW w:w="3544" w:type="dxa"/>
            <w:vMerge/>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p>
        </w:tc>
        <w:tc>
          <w:tcPr>
            <w:tcW w:w="2410"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 </w:t>
            </w:r>
          </w:p>
        </w:tc>
        <w:tc>
          <w:tcPr>
            <w:tcW w:w="2693"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Expectations re-cap, check project progress</w:t>
            </w:r>
          </w:p>
        </w:tc>
        <w:tc>
          <w:tcPr>
            <w:tcW w:w="2693" w:type="dxa"/>
            <w:tcBorders>
              <w:top w:val="none" w:sz="0" w:space="0" w:color="auto"/>
              <w:bottom w:val="none" w:sz="0" w:space="0" w:color="auto"/>
              <w:right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S2S / Project</w:t>
            </w:r>
          </w:p>
        </w:tc>
      </w:tr>
      <w:tr w:rsidR="009C002B" w:rsidTr="004A29B9">
        <w:tc>
          <w:tcPr>
            <w:cnfStyle w:val="001000000000" w:firstRow="0" w:lastRow="0" w:firstColumn="1" w:lastColumn="0" w:oddVBand="0" w:evenVBand="0" w:oddHBand="0" w:evenHBand="0" w:firstRowFirstColumn="0" w:firstRowLastColumn="0" w:lastRowFirstColumn="0" w:lastRowLastColumn="0"/>
            <w:tcW w:w="1668" w:type="dxa"/>
          </w:tcPr>
          <w:p w:rsidR="009C002B" w:rsidRDefault="009C002B" w:rsidP="009C002B">
            <w:pPr>
              <w:rPr>
                <w:sz w:val="22"/>
              </w:rPr>
            </w:pPr>
            <w:r>
              <w:rPr>
                <w:sz w:val="22"/>
              </w:rPr>
              <w:t xml:space="preserve">1200 – 1300 </w:t>
            </w:r>
          </w:p>
        </w:tc>
        <w:tc>
          <w:tcPr>
            <w:tcW w:w="2409"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3544"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410"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693"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693"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r>
      <w:tr w:rsidR="009C002B"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002B" w:rsidRDefault="009C002B" w:rsidP="009C002B">
            <w:pPr>
              <w:rPr>
                <w:sz w:val="22"/>
              </w:rPr>
            </w:pPr>
            <w:r>
              <w:rPr>
                <w:sz w:val="22"/>
              </w:rPr>
              <w:t xml:space="preserve">1300 – 1400 </w:t>
            </w:r>
          </w:p>
        </w:tc>
        <w:tc>
          <w:tcPr>
            <w:tcW w:w="2409" w:type="dxa"/>
            <w:vMerge w:val="restart"/>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Project</w:t>
            </w:r>
          </w:p>
        </w:tc>
        <w:tc>
          <w:tcPr>
            <w:tcW w:w="3544" w:type="dxa"/>
            <w:vMerge w:val="restart"/>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Project</w:t>
            </w:r>
          </w:p>
        </w:tc>
        <w:tc>
          <w:tcPr>
            <w:tcW w:w="2410" w:type="dxa"/>
            <w:vMerge w:val="restart"/>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 </w:t>
            </w:r>
          </w:p>
        </w:tc>
        <w:tc>
          <w:tcPr>
            <w:tcW w:w="2693" w:type="dxa"/>
            <w:vMerge w:val="restart"/>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 </w:t>
            </w:r>
          </w:p>
        </w:tc>
        <w:tc>
          <w:tcPr>
            <w:tcW w:w="2693" w:type="dxa"/>
            <w:tcBorders>
              <w:top w:val="none" w:sz="0" w:space="0" w:color="auto"/>
              <w:bottom w:val="none" w:sz="0" w:space="0" w:color="auto"/>
              <w:right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My week so far… </w:t>
            </w:r>
          </w:p>
        </w:tc>
      </w:tr>
      <w:tr w:rsidR="009C002B" w:rsidTr="004A29B9">
        <w:tc>
          <w:tcPr>
            <w:cnfStyle w:val="001000000000" w:firstRow="0" w:lastRow="0" w:firstColumn="1" w:lastColumn="0" w:oddVBand="0" w:evenVBand="0" w:oddHBand="0" w:evenHBand="0" w:firstRowFirstColumn="0" w:firstRowLastColumn="0" w:lastRowFirstColumn="0" w:lastRowLastColumn="0"/>
            <w:tcW w:w="1668" w:type="dxa"/>
          </w:tcPr>
          <w:p w:rsidR="009C002B" w:rsidRDefault="009C002B" w:rsidP="009C002B">
            <w:pPr>
              <w:rPr>
                <w:sz w:val="22"/>
              </w:rPr>
            </w:pPr>
            <w:r>
              <w:rPr>
                <w:sz w:val="22"/>
              </w:rPr>
              <w:t xml:space="preserve">1400 – 1500 </w:t>
            </w:r>
          </w:p>
        </w:tc>
        <w:tc>
          <w:tcPr>
            <w:tcW w:w="2409" w:type="dxa"/>
            <w:vMerge/>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p>
        </w:tc>
        <w:tc>
          <w:tcPr>
            <w:tcW w:w="3544" w:type="dxa"/>
            <w:vMerge/>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p>
        </w:tc>
        <w:tc>
          <w:tcPr>
            <w:tcW w:w="2410" w:type="dxa"/>
            <w:vMerge/>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p>
        </w:tc>
        <w:tc>
          <w:tcPr>
            <w:tcW w:w="2693" w:type="dxa"/>
            <w:vMerge/>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p>
        </w:tc>
        <w:tc>
          <w:tcPr>
            <w:tcW w:w="2693" w:type="dxa"/>
          </w:tcPr>
          <w:p w:rsidR="009C002B" w:rsidRDefault="009C002B" w:rsidP="009C002B">
            <w:pPr>
              <w:cnfStyle w:val="000000000000" w:firstRow="0" w:lastRow="0" w:firstColumn="0" w:lastColumn="0" w:oddVBand="0" w:evenVBand="0" w:oddHBand="0" w:evenHBand="0" w:firstRowFirstColumn="0" w:firstRowLastColumn="0" w:lastRowFirstColumn="0" w:lastRowLastColumn="0"/>
              <w:rPr>
                <w:sz w:val="22"/>
              </w:rPr>
            </w:pPr>
            <w:r>
              <w:rPr>
                <w:sz w:val="22"/>
              </w:rPr>
              <w:t>End of week check-in</w:t>
            </w:r>
          </w:p>
        </w:tc>
      </w:tr>
      <w:tr w:rsidR="009C002B"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002B" w:rsidRDefault="009C002B" w:rsidP="009C002B">
            <w:pPr>
              <w:rPr>
                <w:sz w:val="22"/>
              </w:rPr>
            </w:pPr>
            <w:r>
              <w:rPr>
                <w:sz w:val="22"/>
              </w:rPr>
              <w:t xml:space="preserve">1500 – 1530 </w:t>
            </w:r>
          </w:p>
        </w:tc>
        <w:tc>
          <w:tcPr>
            <w:tcW w:w="2409"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3544"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410"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693" w:type="dxa"/>
            <w:tcBorders>
              <w:top w:val="none" w:sz="0" w:space="0" w:color="auto"/>
              <w:bottom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693" w:type="dxa"/>
            <w:tcBorders>
              <w:top w:val="none" w:sz="0" w:space="0" w:color="auto"/>
              <w:bottom w:val="none" w:sz="0" w:space="0" w:color="auto"/>
              <w:right w:val="none" w:sz="0" w:space="0" w:color="auto"/>
            </w:tcBorders>
          </w:tcPr>
          <w:p w:rsidR="009C002B" w:rsidRDefault="009C002B" w:rsidP="009C002B">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Self-reflection </w:t>
            </w:r>
          </w:p>
        </w:tc>
      </w:tr>
    </w:tbl>
    <w:p w:rsidR="00075E47" w:rsidRDefault="00075E47">
      <w:pPr>
        <w:rPr>
          <w:sz w:val="22"/>
        </w:rPr>
      </w:pPr>
    </w:p>
    <w:p w:rsidR="009C7604" w:rsidRDefault="009C7604">
      <w:pPr>
        <w:rPr>
          <w:sz w:val="22"/>
        </w:rPr>
      </w:pPr>
    </w:p>
    <w:p w:rsidR="009C7604" w:rsidRDefault="009C7604">
      <w:pPr>
        <w:rPr>
          <w:sz w:val="22"/>
        </w:rPr>
      </w:pPr>
    </w:p>
    <w:p w:rsidR="009C7604" w:rsidRDefault="009C7604">
      <w:pPr>
        <w:rPr>
          <w:sz w:val="22"/>
        </w:rPr>
      </w:pPr>
    </w:p>
    <w:p w:rsidR="009C7604" w:rsidRPr="00075E47" w:rsidRDefault="009C7604" w:rsidP="009C7604">
      <w:pPr>
        <w:rPr>
          <w:b/>
          <w:sz w:val="22"/>
        </w:rPr>
      </w:pPr>
    </w:p>
    <w:tbl>
      <w:tblPr>
        <w:tblStyle w:val="LightList-Accent4"/>
        <w:tblpPr w:leftFromText="180" w:rightFromText="180" w:vertAnchor="text" w:horzAnchor="margin"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09"/>
        <w:gridCol w:w="3544"/>
        <w:gridCol w:w="2410"/>
        <w:gridCol w:w="2693"/>
        <w:gridCol w:w="2693"/>
      </w:tblGrid>
      <w:tr w:rsidR="009C7604" w:rsidTr="004A29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9C7604" w:rsidRPr="009C002B" w:rsidRDefault="009C002B" w:rsidP="009C7604">
            <w:pPr>
              <w:rPr>
                <w:b w:val="0"/>
                <w:sz w:val="22"/>
              </w:rPr>
            </w:pPr>
            <w:r w:rsidRPr="009C002B">
              <w:rPr>
                <w:sz w:val="22"/>
              </w:rPr>
              <w:lastRenderedPageBreak/>
              <w:t>Week 3</w:t>
            </w:r>
          </w:p>
        </w:tc>
        <w:tc>
          <w:tcPr>
            <w:tcW w:w="2409" w:type="dxa"/>
          </w:tcPr>
          <w:p w:rsidR="009C7604" w:rsidRDefault="009C7604" w:rsidP="009C7604">
            <w:pPr>
              <w:cnfStyle w:val="100000000000" w:firstRow="1" w:lastRow="0" w:firstColumn="0" w:lastColumn="0" w:oddVBand="0" w:evenVBand="0" w:oddHBand="0" w:evenHBand="0" w:firstRowFirstColumn="0" w:firstRowLastColumn="0" w:lastRowFirstColumn="0" w:lastRowLastColumn="0"/>
              <w:rPr>
                <w:sz w:val="22"/>
              </w:rPr>
            </w:pPr>
            <w:r>
              <w:rPr>
                <w:sz w:val="22"/>
              </w:rPr>
              <w:t>Monday</w:t>
            </w:r>
          </w:p>
        </w:tc>
        <w:tc>
          <w:tcPr>
            <w:tcW w:w="3544" w:type="dxa"/>
          </w:tcPr>
          <w:p w:rsidR="009C7604" w:rsidRDefault="009C7604" w:rsidP="009C7604">
            <w:pPr>
              <w:cnfStyle w:val="100000000000" w:firstRow="1" w:lastRow="0" w:firstColumn="0" w:lastColumn="0" w:oddVBand="0" w:evenVBand="0" w:oddHBand="0" w:evenHBand="0" w:firstRowFirstColumn="0" w:firstRowLastColumn="0" w:lastRowFirstColumn="0" w:lastRowLastColumn="0"/>
              <w:rPr>
                <w:sz w:val="22"/>
              </w:rPr>
            </w:pPr>
            <w:r>
              <w:rPr>
                <w:sz w:val="22"/>
              </w:rPr>
              <w:t>Tuesday</w:t>
            </w:r>
          </w:p>
        </w:tc>
        <w:tc>
          <w:tcPr>
            <w:tcW w:w="2410" w:type="dxa"/>
          </w:tcPr>
          <w:p w:rsidR="009C7604" w:rsidRDefault="009C7604" w:rsidP="009C7604">
            <w:pPr>
              <w:cnfStyle w:val="100000000000" w:firstRow="1" w:lastRow="0" w:firstColumn="0" w:lastColumn="0" w:oddVBand="0" w:evenVBand="0" w:oddHBand="0" w:evenHBand="0" w:firstRowFirstColumn="0" w:firstRowLastColumn="0" w:lastRowFirstColumn="0" w:lastRowLastColumn="0"/>
              <w:rPr>
                <w:sz w:val="22"/>
              </w:rPr>
            </w:pPr>
            <w:r>
              <w:rPr>
                <w:sz w:val="22"/>
              </w:rPr>
              <w:t>Wednesday</w:t>
            </w:r>
          </w:p>
        </w:tc>
        <w:tc>
          <w:tcPr>
            <w:tcW w:w="2693" w:type="dxa"/>
          </w:tcPr>
          <w:p w:rsidR="009C7604" w:rsidRDefault="009C7604" w:rsidP="009C7604">
            <w:pPr>
              <w:cnfStyle w:val="100000000000" w:firstRow="1" w:lastRow="0" w:firstColumn="0" w:lastColumn="0" w:oddVBand="0" w:evenVBand="0" w:oddHBand="0" w:evenHBand="0" w:firstRowFirstColumn="0" w:firstRowLastColumn="0" w:lastRowFirstColumn="0" w:lastRowLastColumn="0"/>
              <w:rPr>
                <w:sz w:val="22"/>
              </w:rPr>
            </w:pPr>
            <w:r>
              <w:rPr>
                <w:sz w:val="22"/>
              </w:rPr>
              <w:t>Thursday</w:t>
            </w:r>
          </w:p>
        </w:tc>
        <w:tc>
          <w:tcPr>
            <w:tcW w:w="2693" w:type="dxa"/>
          </w:tcPr>
          <w:p w:rsidR="009C7604" w:rsidRDefault="009C7604" w:rsidP="009C7604">
            <w:pPr>
              <w:cnfStyle w:val="100000000000" w:firstRow="1" w:lastRow="0" w:firstColumn="0" w:lastColumn="0" w:oddVBand="0" w:evenVBand="0" w:oddHBand="0" w:evenHBand="0" w:firstRowFirstColumn="0" w:firstRowLastColumn="0" w:lastRowFirstColumn="0" w:lastRowLastColumn="0"/>
              <w:rPr>
                <w:sz w:val="22"/>
              </w:rPr>
            </w:pPr>
            <w:r>
              <w:rPr>
                <w:sz w:val="22"/>
              </w:rPr>
              <w:t>Friday</w:t>
            </w:r>
          </w:p>
        </w:tc>
      </w:tr>
      <w:tr w:rsidR="009C002B" w:rsidTr="004A29B9">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002B" w:rsidRDefault="009C002B" w:rsidP="009C7604">
            <w:pPr>
              <w:rPr>
                <w:sz w:val="22"/>
              </w:rPr>
            </w:pPr>
            <w:r>
              <w:rPr>
                <w:sz w:val="22"/>
              </w:rPr>
              <w:t>0900 – 1000</w:t>
            </w:r>
          </w:p>
        </w:tc>
        <w:tc>
          <w:tcPr>
            <w:tcW w:w="2409" w:type="dxa"/>
            <w:tcBorders>
              <w:top w:val="none" w:sz="0" w:space="0" w:color="auto"/>
              <w:bottom w:val="none" w:sz="0" w:space="0" w:color="auto"/>
            </w:tcBorders>
          </w:tcPr>
          <w:p w:rsidR="009C002B" w:rsidRDefault="009C002B" w:rsidP="009C7604">
            <w:pPr>
              <w:cnfStyle w:val="000000100000" w:firstRow="0" w:lastRow="0" w:firstColumn="0" w:lastColumn="0" w:oddVBand="0" w:evenVBand="0" w:oddHBand="1" w:evenHBand="0" w:firstRowFirstColumn="0" w:firstRowLastColumn="0" w:lastRowFirstColumn="0" w:lastRowLastColumn="0"/>
              <w:rPr>
                <w:sz w:val="22"/>
              </w:rPr>
            </w:pPr>
            <w:r>
              <w:rPr>
                <w:sz w:val="22"/>
              </w:rPr>
              <w:t>How was your weekend/reflections</w:t>
            </w:r>
          </w:p>
        </w:tc>
        <w:tc>
          <w:tcPr>
            <w:tcW w:w="3544" w:type="dxa"/>
            <w:tcBorders>
              <w:top w:val="none" w:sz="0" w:space="0" w:color="auto"/>
              <w:bottom w:val="none" w:sz="0" w:space="0" w:color="auto"/>
            </w:tcBorders>
          </w:tcPr>
          <w:p w:rsidR="009C002B" w:rsidRDefault="009C002B" w:rsidP="009C7604">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S2S – CAR technique + practice  </w:t>
            </w:r>
          </w:p>
        </w:tc>
        <w:tc>
          <w:tcPr>
            <w:tcW w:w="2410" w:type="dxa"/>
            <w:tcBorders>
              <w:top w:val="none" w:sz="0" w:space="0" w:color="auto"/>
              <w:bottom w:val="none" w:sz="0" w:space="0" w:color="auto"/>
            </w:tcBorders>
          </w:tcPr>
          <w:p w:rsidR="009C002B" w:rsidRDefault="009C002B" w:rsidP="009C7604">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Mock application  </w:t>
            </w:r>
          </w:p>
        </w:tc>
        <w:tc>
          <w:tcPr>
            <w:tcW w:w="2693" w:type="dxa"/>
            <w:tcBorders>
              <w:top w:val="none" w:sz="0" w:space="0" w:color="auto"/>
              <w:bottom w:val="none" w:sz="0" w:space="0" w:color="auto"/>
            </w:tcBorders>
          </w:tcPr>
          <w:p w:rsidR="009C002B" w:rsidRDefault="009C002B" w:rsidP="009C7604">
            <w:pPr>
              <w:cnfStyle w:val="000000100000" w:firstRow="0" w:lastRow="0" w:firstColumn="0" w:lastColumn="0" w:oddVBand="0" w:evenVBand="0" w:oddHBand="1" w:evenHBand="0" w:firstRowFirstColumn="0" w:firstRowLastColumn="0" w:lastRowFirstColumn="0" w:lastRowLastColumn="0"/>
              <w:rPr>
                <w:sz w:val="22"/>
              </w:rPr>
            </w:pPr>
            <w:r>
              <w:rPr>
                <w:sz w:val="22"/>
              </w:rPr>
              <w:t>What’s next? Participant aspirations</w:t>
            </w:r>
          </w:p>
        </w:tc>
        <w:tc>
          <w:tcPr>
            <w:tcW w:w="2693" w:type="dxa"/>
            <w:vMerge w:val="restart"/>
            <w:tcBorders>
              <w:top w:val="none" w:sz="0" w:space="0" w:color="auto"/>
              <w:bottom w:val="none" w:sz="0" w:space="0" w:color="auto"/>
              <w:right w:val="none" w:sz="0" w:space="0" w:color="auto"/>
            </w:tcBorders>
          </w:tcPr>
          <w:p w:rsidR="009C002B" w:rsidRDefault="009C002B" w:rsidP="009C7604">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Sell MtW </w:t>
            </w:r>
          </w:p>
        </w:tc>
      </w:tr>
      <w:tr w:rsidR="009C002B" w:rsidTr="004A29B9">
        <w:tc>
          <w:tcPr>
            <w:cnfStyle w:val="001000000000" w:firstRow="0" w:lastRow="0" w:firstColumn="1" w:lastColumn="0" w:oddVBand="0" w:evenVBand="0" w:oddHBand="0" w:evenHBand="0" w:firstRowFirstColumn="0" w:firstRowLastColumn="0" w:lastRowFirstColumn="0" w:lastRowLastColumn="0"/>
            <w:tcW w:w="1668" w:type="dxa"/>
          </w:tcPr>
          <w:p w:rsidR="009C002B" w:rsidRDefault="009C002B" w:rsidP="009C7604">
            <w:pPr>
              <w:rPr>
                <w:sz w:val="22"/>
              </w:rPr>
            </w:pPr>
            <w:r>
              <w:rPr>
                <w:sz w:val="22"/>
              </w:rPr>
              <w:t xml:space="preserve">1000 – 1100 </w:t>
            </w:r>
          </w:p>
        </w:tc>
        <w:tc>
          <w:tcPr>
            <w:tcW w:w="2409" w:type="dxa"/>
          </w:tcPr>
          <w:p w:rsidR="009C002B" w:rsidRDefault="009C002B" w:rsidP="009C7604">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Expectations recap, skills developed, what’s next </w:t>
            </w:r>
          </w:p>
        </w:tc>
        <w:tc>
          <w:tcPr>
            <w:tcW w:w="3544" w:type="dxa"/>
            <w:vMerge w:val="restart"/>
          </w:tcPr>
          <w:p w:rsidR="009C002B" w:rsidRDefault="009C002B" w:rsidP="009C7604">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S2S – Prep for interview and ace your interview. Sample interview Qs. </w:t>
            </w:r>
          </w:p>
          <w:p w:rsidR="009C002B" w:rsidRDefault="009C002B" w:rsidP="009C7604">
            <w:pPr>
              <w:cnfStyle w:val="000000000000" w:firstRow="0" w:lastRow="0" w:firstColumn="0" w:lastColumn="0" w:oddVBand="0" w:evenVBand="0" w:oddHBand="0" w:evenHBand="0" w:firstRowFirstColumn="0" w:firstRowLastColumn="0" w:lastRowFirstColumn="0" w:lastRowLastColumn="0"/>
              <w:rPr>
                <w:sz w:val="22"/>
              </w:rPr>
            </w:pPr>
          </w:p>
        </w:tc>
        <w:tc>
          <w:tcPr>
            <w:tcW w:w="2410" w:type="dxa"/>
          </w:tcPr>
          <w:p w:rsidR="009C002B" w:rsidRDefault="009C002B" w:rsidP="009C7604">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Mock interview + feedback </w:t>
            </w:r>
          </w:p>
        </w:tc>
        <w:tc>
          <w:tcPr>
            <w:tcW w:w="2693" w:type="dxa"/>
          </w:tcPr>
          <w:p w:rsidR="009C002B" w:rsidRDefault="009C002B" w:rsidP="009C7604">
            <w:pPr>
              <w:cnfStyle w:val="000000000000" w:firstRow="0" w:lastRow="0" w:firstColumn="0" w:lastColumn="0" w:oddVBand="0" w:evenVBand="0" w:oddHBand="0" w:evenHBand="0" w:firstRowFirstColumn="0" w:firstRowLastColumn="0" w:lastRowFirstColumn="0" w:lastRowLastColumn="0"/>
              <w:rPr>
                <w:sz w:val="22"/>
              </w:rPr>
            </w:pPr>
            <w:r>
              <w:rPr>
                <w:sz w:val="22"/>
              </w:rPr>
              <w:t>Civil Service jobs/job applications/Project</w:t>
            </w:r>
          </w:p>
        </w:tc>
        <w:tc>
          <w:tcPr>
            <w:tcW w:w="2693" w:type="dxa"/>
            <w:vMerge/>
          </w:tcPr>
          <w:p w:rsidR="009C002B" w:rsidRDefault="009C002B" w:rsidP="009C7604">
            <w:pPr>
              <w:cnfStyle w:val="000000000000" w:firstRow="0" w:lastRow="0" w:firstColumn="0" w:lastColumn="0" w:oddVBand="0" w:evenVBand="0" w:oddHBand="0" w:evenHBand="0" w:firstRowFirstColumn="0" w:firstRowLastColumn="0" w:lastRowFirstColumn="0" w:lastRowLastColumn="0"/>
              <w:rPr>
                <w:sz w:val="22"/>
              </w:rPr>
            </w:pPr>
          </w:p>
        </w:tc>
      </w:tr>
      <w:tr w:rsidR="009C7604"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7604" w:rsidRDefault="009C7604" w:rsidP="009C7604">
            <w:pPr>
              <w:rPr>
                <w:sz w:val="22"/>
              </w:rPr>
            </w:pPr>
            <w:r>
              <w:rPr>
                <w:sz w:val="22"/>
              </w:rPr>
              <w:t xml:space="preserve">1100 – 1200 </w:t>
            </w:r>
          </w:p>
        </w:tc>
        <w:tc>
          <w:tcPr>
            <w:tcW w:w="2409" w:type="dxa"/>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Project recap</w:t>
            </w:r>
          </w:p>
        </w:tc>
        <w:tc>
          <w:tcPr>
            <w:tcW w:w="3544" w:type="dxa"/>
            <w:vMerge/>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p>
        </w:tc>
        <w:tc>
          <w:tcPr>
            <w:tcW w:w="2410" w:type="dxa"/>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Project recap</w:t>
            </w:r>
          </w:p>
        </w:tc>
        <w:tc>
          <w:tcPr>
            <w:tcW w:w="2693" w:type="dxa"/>
            <w:tcBorders>
              <w:top w:val="none" w:sz="0" w:space="0" w:color="auto"/>
              <w:bottom w:val="none" w:sz="0" w:space="0" w:color="auto"/>
            </w:tcBorders>
          </w:tcPr>
          <w:p w:rsidR="009C7604" w:rsidRDefault="009C002B" w:rsidP="009C7604">
            <w:pPr>
              <w:cnfStyle w:val="000000100000" w:firstRow="0" w:lastRow="0" w:firstColumn="0" w:lastColumn="0" w:oddVBand="0" w:evenVBand="0" w:oddHBand="1" w:evenHBand="0" w:firstRowFirstColumn="0" w:firstRowLastColumn="0" w:lastRowFirstColumn="0" w:lastRowLastColumn="0"/>
              <w:rPr>
                <w:sz w:val="22"/>
              </w:rPr>
            </w:pPr>
            <w:r>
              <w:rPr>
                <w:sz w:val="22"/>
              </w:rPr>
              <w:t>Project</w:t>
            </w:r>
          </w:p>
        </w:tc>
        <w:tc>
          <w:tcPr>
            <w:tcW w:w="2693" w:type="dxa"/>
            <w:tcBorders>
              <w:top w:val="none" w:sz="0" w:space="0" w:color="auto"/>
              <w:bottom w:val="none" w:sz="0" w:space="0" w:color="auto"/>
              <w:right w:val="none" w:sz="0" w:space="0" w:color="auto"/>
            </w:tcBorders>
          </w:tcPr>
          <w:p w:rsidR="009C7604" w:rsidRDefault="009C002B" w:rsidP="009C7604">
            <w:pPr>
              <w:cnfStyle w:val="000000100000" w:firstRow="0" w:lastRow="0" w:firstColumn="0" w:lastColumn="0" w:oddVBand="0" w:evenVBand="0" w:oddHBand="1" w:evenHBand="0" w:firstRowFirstColumn="0" w:firstRowLastColumn="0" w:lastRowFirstColumn="0" w:lastRowLastColumn="0"/>
              <w:rPr>
                <w:sz w:val="22"/>
              </w:rPr>
            </w:pPr>
            <w:r>
              <w:rPr>
                <w:sz w:val="22"/>
              </w:rPr>
              <w:t>Reflection on own performance, pros and cons etc.</w:t>
            </w:r>
          </w:p>
        </w:tc>
      </w:tr>
      <w:tr w:rsidR="009C7604" w:rsidTr="004A29B9">
        <w:tc>
          <w:tcPr>
            <w:cnfStyle w:val="001000000000" w:firstRow="0" w:lastRow="0" w:firstColumn="1" w:lastColumn="0" w:oddVBand="0" w:evenVBand="0" w:oddHBand="0" w:evenHBand="0" w:firstRowFirstColumn="0" w:firstRowLastColumn="0" w:lastRowFirstColumn="0" w:lastRowLastColumn="0"/>
            <w:tcW w:w="1668" w:type="dxa"/>
          </w:tcPr>
          <w:p w:rsidR="009C7604" w:rsidRDefault="009C7604" w:rsidP="009C7604">
            <w:pPr>
              <w:rPr>
                <w:sz w:val="22"/>
              </w:rPr>
            </w:pPr>
            <w:r>
              <w:rPr>
                <w:sz w:val="22"/>
              </w:rPr>
              <w:t xml:space="preserve">1200 – 1300 </w:t>
            </w:r>
          </w:p>
        </w:tc>
        <w:tc>
          <w:tcPr>
            <w:tcW w:w="2409" w:type="dxa"/>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3544" w:type="dxa"/>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410" w:type="dxa"/>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693" w:type="dxa"/>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c>
          <w:tcPr>
            <w:tcW w:w="2693" w:type="dxa"/>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r>
              <w:rPr>
                <w:sz w:val="22"/>
              </w:rPr>
              <w:t>Lunch</w:t>
            </w:r>
          </w:p>
        </w:tc>
      </w:tr>
      <w:tr w:rsidR="009C7604"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7604" w:rsidRDefault="009C7604" w:rsidP="009C7604">
            <w:pPr>
              <w:rPr>
                <w:sz w:val="22"/>
              </w:rPr>
            </w:pPr>
            <w:r>
              <w:rPr>
                <w:sz w:val="22"/>
              </w:rPr>
              <w:t xml:space="preserve">1300 – 1400 </w:t>
            </w:r>
          </w:p>
        </w:tc>
        <w:tc>
          <w:tcPr>
            <w:tcW w:w="2409" w:type="dxa"/>
            <w:vMerge w:val="restart"/>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Project</w:t>
            </w:r>
          </w:p>
        </w:tc>
        <w:tc>
          <w:tcPr>
            <w:tcW w:w="3544" w:type="dxa"/>
            <w:vMerge w:val="restart"/>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Project</w:t>
            </w:r>
          </w:p>
        </w:tc>
        <w:tc>
          <w:tcPr>
            <w:tcW w:w="2410" w:type="dxa"/>
            <w:vMerge w:val="restart"/>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 </w:t>
            </w:r>
          </w:p>
        </w:tc>
        <w:tc>
          <w:tcPr>
            <w:tcW w:w="2693" w:type="dxa"/>
            <w:vMerge w:val="restart"/>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Project </w:t>
            </w:r>
          </w:p>
        </w:tc>
        <w:tc>
          <w:tcPr>
            <w:tcW w:w="2693" w:type="dxa"/>
            <w:tcBorders>
              <w:top w:val="none" w:sz="0" w:space="0" w:color="auto"/>
              <w:bottom w:val="none" w:sz="0" w:space="0" w:color="auto"/>
              <w:right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 xml:space="preserve">My week so far… </w:t>
            </w:r>
          </w:p>
        </w:tc>
      </w:tr>
      <w:tr w:rsidR="009C7604" w:rsidTr="004A29B9">
        <w:tc>
          <w:tcPr>
            <w:cnfStyle w:val="001000000000" w:firstRow="0" w:lastRow="0" w:firstColumn="1" w:lastColumn="0" w:oddVBand="0" w:evenVBand="0" w:oddHBand="0" w:evenHBand="0" w:firstRowFirstColumn="0" w:firstRowLastColumn="0" w:lastRowFirstColumn="0" w:lastRowLastColumn="0"/>
            <w:tcW w:w="1668" w:type="dxa"/>
          </w:tcPr>
          <w:p w:rsidR="009C7604" w:rsidRDefault="009C7604" w:rsidP="009C7604">
            <w:pPr>
              <w:rPr>
                <w:sz w:val="22"/>
              </w:rPr>
            </w:pPr>
            <w:r>
              <w:rPr>
                <w:sz w:val="22"/>
              </w:rPr>
              <w:t xml:space="preserve">1400 – 1500 </w:t>
            </w:r>
          </w:p>
        </w:tc>
        <w:tc>
          <w:tcPr>
            <w:tcW w:w="2409" w:type="dxa"/>
            <w:vMerge/>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p>
        </w:tc>
        <w:tc>
          <w:tcPr>
            <w:tcW w:w="3544" w:type="dxa"/>
            <w:vMerge/>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p>
        </w:tc>
        <w:tc>
          <w:tcPr>
            <w:tcW w:w="2410" w:type="dxa"/>
            <w:vMerge/>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p>
        </w:tc>
        <w:tc>
          <w:tcPr>
            <w:tcW w:w="2693" w:type="dxa"/>
            <w:vMerge/>
          </w:tcPr>
          <w:p w:rsidR="009C7604" w:rsidRDefault="009C7604" w:rsidP="009C7604">
            <w:pPr>
              <w:cnfStyle w:val="000000000000" w:firstRow="0" w:lastRow="0" w:firstColumn="0" w:lastColumn="0" w:oddVBand="0" w:evenVBand="0" w:oddHBand="0" w:evenHBand="0" w:firstRowFirstColumn="0" w:firstRowLastColumn="0" w:lastRowFirstColumn="0" w:lastRowLastColumn="0"/>
              <w:rPr>
                <w:sz w:val="22"/>
              </w:rPr>
            </w:pPr>
          </w:p>
        </w:tc>
        <w:tc>
          <w:tcPr>
            <w:tcW w:w="2693" w:type="dxa"/>
          </w:tcPr>
          <w:p w:rsidR="009C7604" w:rsidRDefault="009C002B" w:rsidP="009C7604">
            <w:pPr>
              <w:cnfStyle w:val="000000000000" w:firstRow="0" w:lastRow="0" w:firstColumn="0" w:lastColumn="0" w:oddVBand="0" w:evenVBand="0" w:oddHBand="0" w:evenHBand="0" w:firstRowFirstColumn="0" w:firstRowLastColumn="0" w:lastRowFirstColumn="0" w:lastRowLastColumn="0"/>
              <w:rPr>
                <w:sz w:val="22"/>
              </w:rPr>
            </w:pPr>
            <w:r>
              <w:rPr>
                <w:sz w:val="22"/>
              </w:rPr>
              <w:t xml:space="preserve">Final feedback/check in  </w:t>
            </w:r>
          </w:p>
        </w:tc>
      </w:tr>
      <w:tr w:rsidR="009C7604" w:rsidTr="004A29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none" w:sz="0" w:space="0" w:color="auto"/>
              <w:left w:val="none" w:sz="0" w:space="0" w:color="auto"/>
              <w:bottom w:val="none" w:sz="0" w:space="0" w:color="auto"/>
            </w:tcBorders>
          </w:tcPr>
          <w:p w:rsidR="009C7604" w:rsidRDefault="009C7604" w:rsidP="009C7604">
            <w:pPr>
              <w:rPr>
                <w:sz w:val="22"/>
              </w:rPr>
            </w:pPr>
            <w:r>
              <w:rPr>
                <w:sz w:val="22"/>
              </w:rPr>
              <w:t xml:space="preserve">1500 – 1530 </w:t>
            </w:r>
          </w:p>
        </w:tc>
        <w:tc>
          <w:tcPr>
            <w:tcW w:w="2409" w:type="dxa"/>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3544" w:type="dxa"/>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410" w:type="dxa"/>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693" w:type="dxa"/>
            <w:tcBorders>
              <w:top w:val="none" w:sz="0" w:space="0" w:color="auto"/>
              <w:bottom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r>
              <w:rPr>
                <w:sz w:val="22"/>
              </w:rPr>
              <w:t>Self-reflection</w:t>
            </w:r>
          </w:p>
        </w:tc>
        <w:tc>
          <w:tcPr>
            <w:tcW w:w="2693" w:type="dxa"/>
            <w:tcBorders>
              <w:top w:val="none" w:sz="0" w:space="0" w:color="auto"/>
              <w:bottom w:val="none" w:sz="0" w:space="0" w:color="auto"/>
              <w:right w:val="none" w:sz="0" w:space="0" w:color="auto"/>
            </w:tcBorders>
          </w:tcPr>
          <w:p w:rsidR="009C7604" w:rsidRDefault="009C7604" w:rsidP="009C7604">
            <w:pPr>
              <w:cnfStyle w:val="000000100000" w:firstRow="0" w:lastRow="0" w:firstColumn="0" w:lastColumn="0" w:oddVBand="0" w:evenVBand="0" w:oddHBand="1" w:evenHBand="0" w:firstRowFirstColumn="0" w:firstRowLastColumn="0" w:lastRowFirstColumn="0" w:lastRowLastColumn="0"/>
              <w:rPr>
                <w:sz w:val="22"/>
              </w:rPr>
            </w:pPr>
          </w:p>
        </w:tc>
      </w:tr>
    </w:tbl>
    <w:p w:rsidR="009C7604" w:rsidRDefault="009C7604" w:rsidP="009C7604">
      <w:pPr>
        <w:rPr>
          <w:sz w:val="22"/>
        </w:rPr>
      </w:pPr>
    </w:p>
    <w:p w:rsidR="009C002B" w:rsidRPr="009C002B" w:rsidRDefault="009C002B">
      <w:pPr>
        <w:rPr>
          <w:b/>
          <w:sz w:val="22"/>
        </w:rPr>
      </w:pPr>
      <w:r w:rsidRPr="009C002B">
        <w:rPr>
          <w:b/>
          <w:sz w:val="22"/>
        </w:rPr>
        <w:t>The Project</w:t>
      </w:r>
    </w:p>
    <w:p w:rsidR="009C7604" w:rsidRDefault="009C002B">
      <w:pPr>
        <w:rPr>
          <w:sz w:val="22"/>
        </w:rPr>
      </w:pPr>
      <w:r>
        <w:rPr>
          <w:sz w:val="22"/>
        </w:rPr>
        <w:t xml:space="preserve">For the purpose of this example timetable, the Project would be to answer the question: “How can I improve wellbeing in the workplace?” </w:t>
      </w:r>
    </w:p>
    <w:p w:rsidR="009C002B" w:rsidRDefault="009C002B">
      <w:pPr>
        <w:rPr>
          <w:sz w:val="22"/>
        </w:rPr>
      </w:pPr>
      <w:r>
        <w:rPr>
          <w:sz w:val="22"/>
        </w:rPr>
        <w:t>Week 1 would focus primarily on researching wellbeing, initiatives already within their location and initiatives taking place elsewhere. Participants will be encouraged to meet colleagues to discuss this, use the internet to research these issues and solutions,</w:t>
      </w:r>
      <w:r w:rsidR="009670DF">
        <w:rPr>
          <w:sz w:val="22"/>
        </w:rPr>
        <w:t xml:space="preserve"> and work with others who are already working on a similar project. E.g. #ICanBeMe team. </w:t>
      </w:r>
    </w:p>
    <w:p w:rsidR="009C002B" w:rsidRDefault="009C002B">
      <w:pPr>
        <w:rPr>
          <w:sz w:val="22"/>
        </w:rPr>
      </w:pPr>
      <w:r>
        <w:rPr>
          <w:sz w:val="22"/>
        </w:rPr>
        <w:t>Week 2</w:t>
      </w:r>
      <w:r w:rsidR="009670DF">
        <w:rPr>
          <w:sz w:val="22"/>
        </w:rPr>
        <w:t xml:space="preserve"> would revolve around coming up with practical solutions that can be taken, e.g. creating leaflets, posters, emails etc to be sent around. They should also focus on a “social action” point, which would be delivered in week 3. This will be something that raises the profile of their project. For example, hosting a well-being themed bakesale or organising a “get-away-from-the-desk” walk. They will have to think about how they will make this happen, create a risk assessment and lay the foundations for week 3.</w:t>
      </w:r>
    </w:p>
    <w:p w:rsidR="009670DF" w:rsidRDefault="009670DF">
      <w:pPr>
        <w:rPr>
          <w:sz w:val="22"/>
        </w:rPr>
      </w:pPr>
      <w:r>
        <w:rPr>
          <w:sz w:val="22"/>
        </w:rPr>
        <w:t xml:space="preserve">Week 3 will be the delivery week. They will present their findings to a group, laying out what they’re going to do, why they’re doing it and why people should be involved. They will deliver their social action. </w:t>
      </w:r>
    </w:p>
    <w:p w:rsidR="004A29B9" w:rsidRDefault="004A29B9">
      <w:pPr>
        <w:rPr>
          <w:b/>
          <w:sz w:val="22"/>
        </w:rPr>
      </w:pPr>
      <w:r>
        <w:rPr>
          <w:b/>
          <w:sz w:val="22"/>
        </w:rPr>
        <w:t>Self-reflection</w:t>
      </w:r>
    </w:p>
    <w:p w:rsidR="004A29B9" w:rsidRDefault="004A29B9">
      <w:pPr>
        <w:rPr>
          <w:sz w:val="22"/>
        </w:rPr>
      </w:pPr>
      <w:r>
        <w:rPr>
          <w:sz w:val="22"/>
        </w:rPr>
        <w:t xml:space="preserve">In this timetable, the self-reflection is an optional 30 minutes at the end of each day for the </w:t>
      </w:r>
      <w:r w:rsidR="007A5EC4">
        <w:rPr>
          <w:sz w:val="22"/>
        </w:rPr>
        <w:t>P</w:t>
      </w:r>
      <w:r>
        <w:rPr>
          <w:sz w:val="22"/>
        </w:rPr>
        <w:t xml:space="preserve">articipant to think about what they’ve learnt and what skills they’ve used that day. It may </w:t>
      </w:r>
      <w:r w:rsidR="007A5EC4">
        <w:rPr>
          <w:sz w:val="22"/>
        </w:rPr>
        <w:t>be useful for Participant Managers to also use this time for their own self-reflection.</w:t>
      </w:r>
      <w:r w:rsidR="00505955">
        <w:rPr>
          <w:sz w:val="22"/>
        </w:rPr>
        <w:t xml:space="preserve"> </w:t>
      </w:r>
    </w:p>
    <w:p w:rsidR="004A29B9" w:rsidRPr="004A29B9" w:rsidRDefault="004A29B9">
      <w:pPr>
        <w:rPr>
          <w:b/>
          <w:szCs w:val="24"/>
        </w:rPr>
      </w:pPr>
    </w:p>
    <w:sectPr w:rsidR="004A29B9" w:rsidRPr="004A29B9" w:rsidSect="004A29B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9B9" w:rsidRDefault="004A29B9" w:rsidP="00075E47">
      <w:pPr>
        <w:spacing w:after="0" w:line="240" w:lineRule="auto"/>
      </w:pPr>
      <w:r>
        <w:separator/>
      </w:r>
    </w:p>
  </w:endnote>
  <w:endnote w:type="continuationSeparator" w:id="0">
    <w:p w:rsidR="004A29B9" w:rsidRDefault="004A29B9" w:rsidP="0007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9B9" w:rsidRDefault="004A29B9" w:rsidP="00075E47">
      <w:pPr>
        <w:spacing w:after="0" w:line="240" w:lineRule="auto"/>
      </w:pPr>
      <w:r>
        <w:separator/>
      </w:r>
    </w:p>
  </w:footnote>
  <w:footnote w:type="continuationSeparator" w:id="0">
    <w:p w:rsidR="004A29B9" w:rsidRDefault="004A29B9" w:rsidP="00075E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D1B0A"/>
    <w:multiLevelType w:val="hybridMultilevel"/>
    <w:tmpl w:val="47E0EEAE"/>
    <w:lvl w:ilvl="0" w:tplc="5E8CB2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4FD03F2"/>
    <w:multiLevelType w:val="hybridMultilevel"/>
    <w:tmpl w:val="25E0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D752F"/>
    <w:multiLevelType w:val="hybridMultilevel"/>
    <w:tmpl w:val="C9E02C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A20767"/>
    <w:multiLevelType w:val="hybridMultilevel"/>
    <w:tmpl w:val="9B4A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1E3AAB"/>
    <w:multiLevelType w:val="hybridMultilevel"/>
    <w:tmpl w:val="8BB4225E"/>
    <w:lvl w:ilvl="0" w:tplc="A0A8C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943289D"/>
    <w:multiLevelType w:val="hybridMultilevel"/>
    <w:tmpl w:val="F84AED58"/>
    <w:lvl w:ilvl="0" w:tplc="F92A53E0">
      <w:start w:val="1"/>
      <w:numFmt w:val="decimal"/>
      <w:lvlText w:val="%1."/>
      <w:lvlJc w:val="left"/>
      <w:pPr>
        <w:ind w:left="644" w:hanging="360"/>
      </w:pPr>
      <w:rPr>
        <w:b/>
        <w:color w:val="E4008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634111D8"/>
    <w:multiLevelType w:val="hybridMultilevel"/>
    <w:tmpl w:val="E452D47C"/>
    <w:lvl w:ilvl="0" w:tplc="C6B8FAC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479DD"/>
    <w:multiLevelType w:val="hybridMultilevel"/>
    <w:tmpl w:val="ED62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921CE0"/>
    <w:multiLevelType w:val="hybridMultilevel"/>
    <w:tmpl w:val="FC14341A"/>
    <w:lvl w:ilvl="0" w:tplc="DB980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0"/>
  </w:num>
  <w:num w:numId="6">
    <w:abstractNumId w:val="5"/>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80"/>
    <w:rsid w:val="00000D5D"/>
    <w:rsid w:val="00004244"/>
    <w:rsid w:val="00027CA9"/>
    <w:rsid w:val="00052D26"/>
    <w:rsid w:val="00071DB9"/>
    <w:rsid w:val="00075E47"/>
    <w:rsid w:val="000D2787"/>
    <w:rsid w:val="000D3010"/>
    <w:rsid w:val="00132554"/>
    <w:rsid w:val="001579F7"/>
    <w:rsid w:val="001E3522"/>
    <w:rsid w:val="00223845"/>
    <w:rsid w:val="00262D46"/>
    <w:rsid w:val="002D74A3"/>
    <w:rsid w:val="003150AA"/>
    <w:rsid w:val="00321AB7"/>
    <w:rsid w:val="00382180"/>
    <w:rsid w:val="003A66F4"/>
    <w:rsid w:val="003C5463"/>
    <w:rsid w:val="003D4C3E"/>
    <w:rsid w:val="003D68B4"/>
    <w:rsid w:val="004A29B9"/>
    <w:rsid w:val="004B0A49"/>
    <w:rsid w:val="004E3066"/>
    <w:rsid w:val="00505955"/>
    <w:rsid w:val="005E7244"/>
    <w:rsid w:val="00611F54"/>
    <w:rsid w:val="006307F9"/>
    <w:rsid w:val="007025FF"/>
    <w:rsid w:val="0073146E"/>
    <w:rsid w:val="00762895"/>
    <w:rsid w:val="007A57F6"/>
    <w:rsid w:val="007A5EC4"/>
    <w:rsid w:val="00800C4B"/>
    <w:rsid w:val="008135EC"/>
    <w:rsid w:val="008677C0"/>
    <w:rsid w:val="00886583"/>
    <w:rsid w:val="008B0864"/>
    <w:rsid w:val="009670DF"/>
    <w:rsid w:val="0098477F"/>
    <w:rsid w:val="009C002B"/>
    <w:rsid w:val="009C7604"/>
    <w:rsid w:val="009F5C89"/>
    <w:rsid w:val="00A25E72"/>
    <w:rsid w:val="00A55814"/>
    <w:rsid w:val="00A73A2E"/>
    <w:rsid w:val="00AC7664"/>
    <w:rsid w:val="00AC78AB"/>
    <w:rsid w:val="00AD7C9E"/>
    <w:rsid w:val="00AE06D8"/>
    <w:rsid w:val="00AE2843"/>
    <w:rsid w:val="00B16373"/>
    <w:rsid w:val="00B321A2"/>
    <w:rsid w:val="00B36B28"/>
    <w:rsid w:val="00B57890"/>
    <w:rsid w:val="00BE393E"/>
    <w:rsid w:val="00C52718"/>
    <w:rsid w:val="00C7614A"/>
    <w:rsid w:val="00CA4D21"/>
    <w:rsid w:val="00CC4984"/>
    <w:rsid w:val="00CD6DDD"/>
    <w:rsid w:val="00D07840"/>
    <w:rsid w:val="00D43432"/>
    <w:rsid w:val="00D70B35"/>
    <w:rsid w:val="00D914A2"/>
    <w:rsid w:val="00DC71CB"/>
    <w:rsid w:val="00E974CB"/>
    <w:rsid w:val="00F07998"/>
    <w:rsid w:val="00F57F65"/>
    <w:rsid w:val="00FB167A"/>
    <w:rsid w:val="00FB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CE84B2-31D9-436E-8458-5EDFAB14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A2E"/>
  </w:style>
  <w:style w:type="paragraph" w:styleId="Heading1">
    <w:name w:val="heading 1"/>
    <w:basedOn w:val="Normal"/>
    <w:next w:val="Normal"/>
    <w:link w:val="Heading1Char"/>
    <w:uiPriority w:val="9"/>
    <w:qFormat/>
    <w:rsid w:val="00A25E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2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180"/>
    <w:rPr>
      <w:rFonts w:ascii="Tahoma" w:hAnsi="Tahoma" w:cs="Tahoma"/>
      <w:sz w:val="16"/>
      <w:szCs w:val="16"/>
    </w:rPr>
  </w:style>
  <w:style w:type="character" w:customStyle="1" w:styleId="Heading1Char">
    <w:name w:val="Heading 1 Char"/>
    <w:basedOn w:val="DefaultParagraphFont"/>
    <w:link w:val="Heading1"/>
    <w:uiPriority w:val="9"/>
    <w:rsid w:val="00A25E7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5E72"/>
    <w:pPr>
      <w:ind w:left="720"/>
      <w:contextualSpacing/>
    </w:pPr>
  </w:style>
  <w:style w:type="character" w:styleId="Hyperlink">
    <w:name w:val="Hyperlink"/>
    <w:basedOn w:val="DefaultParagraphFont"/>
    <w:uiPriority w:val="99"/>
    <w:unhideWhenUsed/>
    <w:rsid w:val="00A73A2E"/>
    <w:rPr>
      <w:color w:val="0000FF" w:themeColor="hyperlink"/>
      <w:u w:val="single"/>
    </w:rPr>
  </w:style>
  <w:style w:type="table" w:styleId="TableGrid">
    <w:name w:val="Table Grid"/>
    <w:basedOn w:val="TableNormal"/>
    <w:uiPriority w:val="59"/>
    <w:rsid w:val="00813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611F5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075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E47"/>
  </w:style>
  <w:style w:type="paragraph" w:styleId="Footer">
    <w:name w:val="footer"/>
    <w:basedOn w:val="Normal"/>
    <w:link w:val="FooterChar"/>
    <w:uiPriority w:val="99"/>
    <w:unhideWhenUsed/>
    <w:rsid w:val="00075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cements.movementtowork.com/jobs/" TargetMode="External"/><Relationship Id="rId5" Type="http://schemas.openxmlformats.org/officeDocument/2006/relationships/webSettings" Target="webSettings.xml"/><Relationship Id="rId10" Type="http://schemas.openxmlformats.org/officeDocument/2006/relationships/hyperlink" Target="https://intranet.dwp.gov.uk/file/390863/download" TargetMode="External"/><Relationship Id="rId4" Type="http://schemas.openxmlformats.org/officeDocument/2006/relationships/settings" Target="settings.xml"/><Relationship Id="rId9" Type="http://schemas.openxmlformats.org/officeDocument/2006/relationships/hyperlink" Target="http://www.accen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F21DE-1DB2-4195-A81A-8F803649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Josephs Charlotte DWP HR STRATEGY</dc:creator>
  <cp:lastModifiedBy>Josephs Charlotte DWP HR STRATEGY</cp:lastModifiedBy>
  <cp:revision>9</cp:revision>
  <dcterms:created xsi:type="dcterms:W3CDTF">2018-09-26T15:09:00Z</dcterms:created>
  <dcterms:modified xsi:type="dcterms:W3CDTF">2018-11-02T10:06:00Z</dcterms:modified>
</cp:coreProperties>
</file>